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957854" w14:textId="061F560A" w:rsidR="00675CA9" w:rsidRDefault="00472078">
      <w:pPr>
        <w:pStyle w:val="FP"/>
        <w:tabs>
          <w:tab w:val="left" w:pos="567"/>
        </w:tabs>
        <w:rPr>
          <w:rFonts w:ascii="Arial" w:eastAsia="宋体" w:hAnsi="Arial" w:cs="Arial"/>
          <w:b/>
        </w:rPr>
      </w:pPr>
      <w:r>
        <w:rPr>
          <w:rFonts w:ascii="Arial" w:hAnsi="Arial" w:cs="Arial"/>
          <w:b/>
        </w:rPr>
        <w:t>3GPP TSG RAN Meeting #10</w:t>
      </w:r>
      <w:r>
        <w:rPr>
          <w:rFonts w:ascii="Arial" w:hAnsi="Arial" w:cs="Arial" w:hint="eastAsia"/>
          <w:b/>
        </w:rPr>
        <w:t>9</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6B7D66">
        <w:rPr>
          <w:rFonts w:ascii="Arial" w:hAnsi="Arial" w:cs="Arial" w:hint="eastAsia"/>
          <w:b/>
        </w:rPr>
        <w:t xml:space="preserve"> </w:t>
      </w:r>
      <w:r w:rsidR="006B7D66" w:rsidRPr="006B7D66">
        <w:rPr>
          <w:rFonts w:ascii="Arial" w:hAnsi="Arial" w:cs="Arial"/>
          <w:b/>
        </w:rPr>
        <w:t>RP-2520</w:t>
      </w:r>
      <w:r w:rsidR="0017262E">
        <w:rPr>
          <w:rFonts w:ascii="Arial" w:hAnsi="Arial" w:cs="Arial"/>
          <w:b/>
        </w:rPr>
        <w:t>41</w:t>
      </w:r>
      <w:r>
        <w:rPr>
          <w:rFonts w:ascii="Arial" w:hAnsi="Arial" w:cs="Arial"/>
          <w:b/>
        </w:rPr>
        <w:br/>
      </w:r>
      <w:r>
        <w:rPr>
          <w:rFonts w:ascii="Arial" w:hAnsi="Arial" w:cs="Times New Roman" w:hint="eastAsia"/>
          <w:b/>
          <w:kern w:val="0"/>
        </w:rPr>
        <w:t>Beijing</w:t>
      </w:r>
      <w:r>
        <w:rPr>
          <w:rFonts w:ascii="Arial" w:eastAsia="MS Mincho" w:hAnsi="Arial" w:cs="Times New Roman"/>
          <w:b/>
          <w:kern w:val="0"/>
        </w:rPr>
        <w:t xml:space="preserve">, </w:t>
      </w:r>
      <w:r>
        <w:rPr>
          <w:rFonts w:ascii="Arial" w:hAnsi="Arial" w:cs="Times New Roman" w:hint="eastAsia"/>
          <w:b/>
          <w:kern w:val="0"/>
        </w:rPr>
        <w:t>China</w:t>
      </w:r>
      <w:r>
        <w:rPr>
          <w:rFonts w:ascii="Arial" w:eastAsia="MS Mincho" w:hAnsi="Arial" w:cs="Times New Roman"/>
          <w:b/>
          <w:kern w:val="0"/>
        </w:rPr>
        <w:t xml:space="preserve">, </w:t>
      </w:r>
      <w:r>
        <w:rPr>
          <w:rFonts w:ascii="Arial" w:hAnsi="Arial" w:cs="Times New Roman" w:hint="eastAsia"/>
          <w:b/>
          <w:kern w:val="0"/>
        </w:rPr>
        <w:t>September 15-18</w:t>
      </w:r>
      <w:r>
        <w:rPr>
          <w:rFonts w:ascii="Arial" w:eastAsia="MS Mincho" w:hAnsi="Arial" w:cs="Times New Roman"/>
          <w:b/>
          <w:kern w:val="0"/>
        </w:rPr>
        <w:t>, 2</w:t>
      </w:r>
      <w:r>
        <w:rPr>
          <w:rFonts w:ascii="Arial" w:eastAsia="t" w:hAnsi="Arial" w:cs="Times New Roman"/>
          <w:b/>
          <w:kern w:val="0"/>
        </w:rPr>
        <w:t>02</w:t>
      </w:r>
      <w:r>
        <w:rPr>
          <w:rFonts w:ascii="Arial" w:hAnsi="Arial" w:cs="Times New Roman"/>
          <w:b/>
          <w:kern w:val="0"/>
        </w:rPr>
        <w:t>5</w:t>
      </w:r>
    </w:p>
    <w:p w14:paraId="30362EF2" w14:textId="77777777" w:rsidR="00675CA9" w:rsidRDefault="00675CA9">
      <w:pPr>
        <w:snapToGrid w:val="0"/>
        <w:spacing w:line="276" w:lineRule="auto"/>
        <w:rPr>
          <w:rFonts w:ascii="Arial" w:hAnsi="Arial" w:cs="Times New Roman"/>
          <w:b/>
          <w:kern w:val="0"/>
        </w:rPr>
      </w:pPr>
    </w:p>
    <w:p w14:paraId="29B3BA47" w14:textId="4542F2BC" w:rsidR="00675CA9" w:rsidRDefault="00472078">
      <w:pPr>
        <w:tabs>
          <w:tab w:val="left" w:pos="1805"/>
          <w:tab w:val="right" w:pos="9072"/>
        </w:tabs>
        <w:snapToGrid w:val="0"/>
        <w:spacing w:line="276" w:lineRule="auto"/>
        <w:ind w:left="1803" w:hanging="1803"/>
        <w:rPr>
          <w:rFonts w:ascii="Times New Roman" w:hAnsi="Times New Roman" w:cs="Times New Roman"/>
          <w:b/>
          <w:bCs/>
          <w:kern w:val="0"/>
        </w:rPr>
      </w:pPr>
      <w:r>
        <w:rPr>
          <w:rFonts w:ascii="Arial" w:eastAsia="MS Mincho" w:hAnsi="Arial" w:cs="Times New Roman"/>
          <w:b/>
          <w:kern w:val="0"/>
        </w:rPr>
        <w:t>Source:</w:t>
      </w:r>
      <w:r>
        <w:rPr>
          <w:rFonts w:ascii="Arial" w:eastAsia="宋体" w:hAnsi="Arial" w:cs="Times New Roman" w:hint="eastAsia"/>
          <w:b/>
          <w:kern w:val="0"/>
        </w:rPr>
        <w:t xml:space="preserve">       </w:t>
      </w:r>
      <w:r>
        <w:rPr>
          <w:rFonts w:ascii="Arial" w:eastAsia="宋体" w:hAnsi="Arial" w:cs="Times New Roman"/>
          <w:b/>
          <w:kern w:val="0"/>
        </w:rPr>
        <w:tab/>
      </w:r>
      <w:r>
        <w:rPr>
          <w:rFonts w:ascii="Arial" w:eastAsia="MS Mincho" w:hAnsi="Arial" w:cs="Times New Roman"/>
          <w:b/>
          <w:kern w:val="0"/>
        </w:rPr>
        <w:t>ZTE</w:t>
      </w:r>
      <w:r>
        <w:rPr>
          <w:rFonts w:ascii="Arial" w:hAnsi="Arial" w:cs="Times New Roman" w:hint="eastAsia"/>
          <w:b/>
          <w:kern w:val="0"/>
        </w:rPr>
        <w:t xml:space="preserve"> Corporation, T</w:t>
      </w:r>
      <w:r>
        <w:rPr>
          <w:rFonts w:ascii="Arial" w:hAnsi="Arial" w:cs="Times New Roman"/>
          <w:b/>
          <w:kern w:val="0"/>
        </w:rPr>
        <w:t>-</w:t>
      </w:r>
      <w:r>
        <w:rPr>
          <w:rFonts w:ascii="Arial" w:hAnsi="Arial" w:cs="Times New Roman" w:hint="eastAsia"/>
          <w:b/>
          <w:kern w:val="0"/>
        </w:rPr>
        <w:t>M</w:t>
      </w:r>
      <w:r>
        <w:rPr>
          <w:rFonts w:ascii="Arial" w:hAnsi="Arial" w:cs="Times New Roman"/>
          <w:b/>
          <w:kern w:val="0"/>
        </w:rPr>
        <w:t xml:space="preserve">obile </w:t>
      </w:r>
      <w:r>
        <w:rPr>
          <w:rFonts w:ascii="Arial" w:hAnsi="Arial" w:cs="Times New Roman" w:hint="eastAsia"/>
          <w:b/>
          <w:kern w:val="0"/>
        </w:rPr>
        <w:t>USA</w:t>
      </w:r>
      <w:r>
        <w:rPr>
          <w:rFonts w:ascii="Arial" w:hAnsi="Arial" w:cs="Times New Roman"/>
          <w:b/>
          <w:kern w:val="0"/>
        </w:rPr>
        <w:t xml:space="preserve">, </w:t>
      </w:r>
      <w:r>
        <w:rPr>
          <w:rFonts w:ascii="Arial" w:hAnsi="Arial" w:cs="Times New Roman" w:hint="eastAsia"/>
          <w:b/>
          <w:kern w:val="0"/>
        </w:rPr>
        <w:t>S</w:t>
      </w:r>
      <w:r>
        <w:rPr>
          <w:rFonts w:ascii="Arial" w:hAnsi="Arial" w:cs="Times New Roman"/>
          <w:b/>
          <w:kern w:val="0"/>
        </w:rPr>
        <w:t>oft</w:t>
      </w:r>
      <w:r w:rsidR="0084391B">
        <w:rPr>
          <w:rFonts w:ascii="Arial" w:hAnsi="Arial" w:cs="Times New Roman"/>
          <w:b/>
          <w:kern w:val="0"/>
        </w:rPr>
        <w:t>B</w:t>
      </w:r>
      <w:r>
        <w:rPr>
          <w:rFonts w:ascii="Arial" w:hAnsi="Arial" w:cs="Times New Roman"/>
          <w:b/>
          <w:kern w:val="0"/>
        </w:rPr>
        <w:t xml:space="preserve">ank, CBN, China Broadnet, Telstra, Verizon, </w:t>
      </w:r>
      <w:r>
        <w:rPr>
          <w:rFonts w:ascii="Arial" w:hAnsi="Arial" w:cs="Times New Roman" w:hint="eastAsia"/>
          <w:b/>
          <w:kern w:val="0"/>
        </w:rPr>
        <w:t>Qualcomm Inc.</w:t>
      </w:r>
      <w:r>
        <w:rPr>
          <w:rFonts w:ascii="Arial" w:hAnsi="Arial" w:cs="Times New Roman"/>
          <w:b/>
          <w:kern w:val="0"/>
        </w:rPr>
        <w:t>, Charter</w:t>
      </w:r>
      <w:r w:rsidR="00F23462">
        <w:rPr>
          <w:rFonts w:ascii="Arial" w:hAnsi="Arial" w:cs="Times New Roman"/>
          <w:b/>
          <w:kern w:val="0"/>
        </w:rPr>
        <w:t xml:space="preserve"> Communications</w:t>
      </w:r>
      <w:r>
        <w:rPr>
          <w:rFonts w:ascii="Arial" w:hAnsi="Arial" w:cs="Times New Roman" w:hint="eastAsia"/>
          <w:b/>
          <w:kern w:val="0"/>
        </w:rPr>
        <w:t xml:space="preserve">, China Telecom, Turkcell, Vestel, </w:t>
      </w:r>
      <w:r>
        <w:rPr>
          <w:rFonts w:ascii="Arial" w:hAnsi="Arial" w:cs="Times New Roman"/>
          <w:b/>
          <w:kern w:val="0"/>
        </w:rPr>
        <w:t>Kyocera Corporation</w:t>
      </w:r>
      <w:r>
        <w:rPr>
          <w:rFonts w:ascii="Arial" w:hAnsi="Arial" w:cs="Times New Roman" w:hint="eastAsia"/>
          <w:b/>
          <w:kern w:val="0"/>
        </w:rPr>
        <w:t xml:space="preserve">, DeepSig Inc, CableLabs, </w:t>
      </w:r>
      <w:r>
        <w:rPr>
          <w:rFonts w:ascii="Arial" w:hAnsi="Arial" w:cs="Times New Roman"/>
          <w:b/>
          <w:kern w:val="0"/>
        </w:rPr>
        <w:t>UNISOC</w:t>
      </w:r>
      <w:r>
        <w:rPr>
          <w:rFonts w:ascii="Arial" w:hAnsi="Arial" w:cs="Times New Roman" w:hint="eastAsia"/>
          <w:b/>
          <w:kern w:val="0"/>
        </w:rPr>
        <w:t xml:space="preserve">, </w:t>
      </w:r>
      <w:r>
        <w:rPr>
          <w:rFonts w:ascii="Arial" w:hAnsi="Arial" w:cs="Times New Roman"/>
          <w:b/>
          <w:kern w:val="0"/>
        </w:rPr>
        <w:t>Spreadtrum</w:t>
      </w:r>
      <w:r>
        <w:rPr>
          <w:rFonts w:ascii="Arial" w:hAnsi="Arial" w:cs="Times New Roman" w:hint="eastAsia"/>
          <w:b/>
          <w:kern w:val="0"/>
        </w:rPr>
        <w:t xml:space="preserve">, </w:t>
      </w:r>
      <w:r>
        <w:rPr>
          <w:rFonts w:ascii="Arial" w:hAnsi="Arial" w:cs="Times New Roman"/>
          <w:b/>
          <w:kern w:val="0"/>
        </w:rPr>
        <w:t>Türk Telekom</w:t>
      </w:r>
      <w:r>
        <w:rPr>
          <w:rFonts w:ascii="Arial" w:hAnsi="Arial" w:cs="Times New Roman" w:hint="eastAsia"/>
          <w:b/>
          <w:kern w:val="0"/>
        </w:rPr>
        <w:t xml:space="preserve">, ABS, </w:t>
      </w:r>
      <w:r>
        <w:rPr>
          <w:rFonts w:ascii="Arial" w:hAnsi="Arial" w:cs="Times New Roman"/>
          <w:b/>
          <w:kern w:val="0"/>
        </w:rPr>
        <w:t>Khalifa University</w:t>
      </w:r>
      <w:r>
        <w:rPr>
          <w:rFonts w:ascii="Arial" w:hAnsi="Arial" w:cs="Times New Roman" w:hint="eastAsia"/>
          <w:b/>
          <w:kern w:val="0"/>
        </w:rPr>
        <w:t xml:space="preserve">, </w:t>
      </w:r>
      <w:r>
        <w:rPr>
          <w:rFonts w:ascii="Arial" w:hAnsi="Arial" w:cs="Times New Roman"/>
          <w:b/>
          <w:kern w:val="0"/>
        </w:rPr>
        <w:t>Shanghai Jiao Tong University</w:t>
      </w:r>
      <w:r>
        <w:rPr>
          <w:rFonts w:ascii="Arial" w:hAnsi="Arial" w:cs="Times New Roman" w:hint="eastAsia"/>
          <w:b/>
          <w:kern w:val="0"/>
        </w:rPr>
        <w:t xml:space="preserve">, </w:t>
      </w:r>
      <w:r>
        <w:rPr>
          <w:rFonts w:ascii="Arial" w:hAnsi="Arial" w:cs="Times New Roman"/>
          <w:b/>
          <w:kern w:val="0"/>
        </w:rPr>
        <w:t>NERC-DTV</w:t>
      </w:r>
      <w:r>
        <w:rPr>
          <w:rFonts w:ascii="Arial" w:hAnsi="Arial" w:cs="Times New Roman" w:hint="eastAsia"/>
          <w:b/>
          <w:kern w:val="0"/>
        </w:rPr>
        <w:t xml:space="preserve"> </w:t>
      </w:r>
      <w:r>
        <w:rPr>
          <w:rFonts w:ascii="Arial" w:hAnsi="Arial" w:cs="Times New Roman"/>
          <w:b/>
          <w:bCs/>
          <w:kern w:val="0"/>
        </w:rPr>
        <w:t>Co.</w:t>
      </w:r>
      <w:r>
        <w:rPr>
          <w:rFonts w:ascii="Arial" w:hAnsi="Arial" w:cs="Times New Roman" w:hint="eastAsia"/>
          <w:b/>
          <w:bCs/>
          <w:kern w:val="0"/>
        </w:rPr>
        <w:t xml:space="preserve"> </w:t>
      </w:r>
      <w:r>
        <w:rPr>
          <w:rFonts w:ascii="Arial" w:hAnsi="Arial" w:cs="Times New Roman"/>
          <w:b/>
          <w:bCs/>
          <w:kern w:val="0"/>
        </w:rPr>
        <w:t>Ltd.</w:t>
      </w:r>
      <w:r>
        <w:rPr>
          <w:rFonts w:ascii="Arial" w:hAnsi="Arial" w:cs="Times New Roman" w:hint="eastAsia"/>
          <w:b/>
          <w:kern w:val="0"/>
        </w:rPr>
        <w:t xml:space="preserve">, </w:t>
      </w:r>
      <w:r>
        <w:rPr>
          <w:rFonts w:ascii="Arial" w:hAnsi="Arial" w:cs="Times New Roman"/>
          <w:b/>
          <w:kern w:val="0"/>
        </w:rPr>
        <w:t>Queens University Belfast</w:t>
      </w:r>
      <w:r>
        <w:rPr>
          <w:rFonts w:ascii="Arial" w:hAnsi="Arial" w:cs="Times New Roman" w:hint="eastAsia"/>
          <w:b/>
          <w:kern w:val="0"/>
        </w:rPr>
        <w:t xml:space="preserve">, Ruijie Networks, TCL, </w:t>
      </w:r>
      <w:r>
        <w:rPr>
          <w:rFonts w:ascii="Arial" w:hAnsi="Arial" w:cs="Times New Roman"/>
          <w:b/>
          <w:kern w:val="0"/>
        </w:rPr>
        <w:t>Pengcheng Laboratory</w:t>
      </w:r>
      <w:r w:rsidR="00BE03A8">
        <w:rPr>
          <w:rFonts w:ascii="Arial" w:hAnsi="Arial" w:cs="Times New Roman" w:hint="eastAsia"/>
          <w:b/>
          <w:kern w:val="0"/>
        </w:rPr>
        <w:t xml:space="preserve">, </w:t>
      </w:r>
      <w:r w:rsidR="00BE03A8" w:rsidRPr="00BE03A8">
        <w:rPr>
          <w:rFonts w:ascii="Arial" w:hAnsi="Arial" w:cs="Times New Roman"/>
          <w:b/>
          <w:kern w:val="0"/>
        </w:rPr>
        <w:t>Continental Automotive Technologies GmbH</w:t>
      </w:r>
      <w:r w:rsidR="0017262E">
        <w:rPr>
          <w:rFonts w:ascii="Arial" w:hAnsi="Arial" w:cs="Times New Roman"/>
          <w:b/>
          <w:kern w:val="0"/>
        </w:rPr>
        <w:t xml:space="preserve">, </w:t>
      </w:r>
      <w:r w:rsidR="0084391B">
        <w:rPr>
          <w:rFonts w:ascii="Arial" w:hAnsi="Arial" w:cs="Times New Roman"/>
          <w:b/>
          <w:kern w:val="0"/>
        </w:rPr>
        <w:t>Sanechips,</w:t>
      </w:r>
      <w:r w:rsidR="0084391B">
        <w:rPr>
          <w:rFonts w:ascii="Arial" w:hAnsi="Arial" w:cs="Times New Roman"/>
          <w:b/>
          <w:kern w:val="0"/>
        </w:rPr>
        <w:t xml:space="preserve"> </w:t>
      </w:r>
      <w:r w:rsidR="0017262E">
        <w:rPr>
          <w:rFonts w:ascii="Arial" w:hAnsi="Arial" w:cs="Times New Roman"/>
          <w:b/>
          <w:kern w:val="0"/>
        </w:rPr>
        <w:t xml:space="preserve">InterDigital, </w:t>
      </w:r>
      <w:r w:rsidR="001531C1">
        <w:rPr>
          <w:rFonts w:ascii="Arial" w:hAnsi="Arial" w:cs="Times New Roman"/>
          <w:b/>
          <w:kern w:val="0"/>
        </w:rPr>
        <w:t>V</w:t>
      </w:r>
      <w:r w:rsidR="00860AC7">
        <w:rPr>
          <w:rFonts w:ascii="Arial" w:hAnsi="Arial" w:cs="Times New Roman"/>
          <w:b/>
          <w:kern w:val="0"/>
        </w:rPr>
        <w:t>IAVI</w:t>
      </w:r>
      <w:r w:rsidR="001531C1">
        <w:rPr>
          <w:rFonts w:ascii="Arial" w:hAnsi="Arial" w:cs="Times New Roman"/>
          <w:b/>
          <w:kern w:val="0"/>
        </w:rPr>
        <w:t xml:space="preserve">, </w:t>
      </w:r>
      <w:r w:rsidR="0017262E">
        <w:rPr>
          <w:rFonts w:ascii="Arial" w:hAnsi="Arial" w:cs="Times New Roman"/>
          <w:b/>
          <w:kern w:val="0"/>
        </w:rPr>
        <w:t>Fujitsu</w:t>
      </w:r>
    </w:p>
    <w:p w14:paraId="6EFE10C1" w14:textId="77777777" w:rsidR="00675CA9" w:rsidRDefault="00472078">
      <w:pPr>
        <w:tabs>
          <w:tab w:val="left" w:pos="1800"/>
          <w:tab w:val="center" w:pos="4536"/>
          <w:tab w:val="right" w:pos="9072"/>
        </w:tabs>
        <w:snapToGrid w:val="0"/>
        <w:spacing w:line="276" w:lineRule="auto"/>
        <w:ind w:left="2007" w:hangingChars="833" w:hanging="2007"/>
        <w:rPr>
          <w:rFonts w:ascii="Times New Roman" w:hAnsi="Times New Roman" w:cs="Times New Roman"/>
          <w:b/>
          <w:bCs/>
          <w:kern w:val="0"/>
        </w:rPr>
      </w:pPr>
      <w:r>
        <w:rPr>
          <w:rFonts w:ascii="Arial" w:eastAsia="MS Mincho" w:hAnsi="Arial" w:cs="Times New Roman"/>
          <w:b/>
          <w:kern w:val="0"/>
        </w:rPr>
        <w:t>Title:</w:t>
      </w:r>
      <w:r>
        <w:rPr>
          <w:rFonts w:ascii="Times New Roman" w:eastAsia="宋体" w:hAnsi="Times New Roman" w:cs="Times New Roman"/>
          <w:b/>
          <w:bCs/>
          <w:kern w:val="0"/>
        </w:rPr>
        <w:tab/>
      </w:r>
      <w:r>
        <w:rPr>
          <w:rFonts w:ascii="Arial" w:hAnsi="Arial" w:cs="Times New Roman" w:hint="eastAsia"/>
          <w:b/>
          <w:kern w:val="0"/>
        </w:rPr>
        <w:t>Views on IMT-2030 TPRs</w:t>
      </w:r>
    </w:p>
    <w:p w14:paraId="23D5A996" w14:textId="77777777" w:rsidR="00675CA9" w:rsidRDefault="00472078">
      <w:pPr>
        <w:tabs>
          <w:tab w:val="left" w:pos="1797"/>
          <w:tab w:val="center" w:pos="4536"/>
          <w:tab w:val="right" w:pos="9072"/>
        </w:tabs>
        <w:snapToGrid w:val="0"/>
        <w:spacing w:line="276" w:lineRule="auto"/>
        <w:rPr>
          <w:rFonts w:ascii="Times New Roman" w:hAnsi="Times New Roman" w:cs="Times New Roman"/>
          <w:b/>
          <w:bCs/>
          <w:kern w:val="0"/>
        </w:rPr>
      </w:pPr>
      <w:r>
        <w:rPr>
          <w:rFonts w:ascii="Arial" w:eastAsia="MS Mincho" w:hAnsi="Arial" w:cs="Times New Roman"/>
          <w:b/>
          <w:kern w:val="0"/>
        </w:rPr>
        <w:t>Agenda Item:</w:t>
      </w:r>
      <w:r>
        <w:rPr>
          <w:rFonts w:ascii="Times New Roman" w:eastAsia="宋体" w:hAnsi="Times New Roman" w:cs="Times New Roman"/>
          <w:b/>
          <w:bCs/>
          <w:kern w:val="0"/>
        </w:rPr>
        <w:tab/>
      </w:r>
      <w:r>
        <w:rPr>
          <w:rFonts w:ascii="Arial" w:eastAsia="MS Mincho" w:hAnsi="Arial" w:cs="Times New Roman" w:hint="eastAsia"/>
          <w:b/>
          <w:kern w:val="0"/>
          <w:lang w:eastAsia="ja-JP"/>
        </w:rPr>
        <w:t>8.2.1.2</w:t>
      </w:r>
      <w:bookmarkStart w:id="0" w:name="_GoBack"/>
      <w:bookmarkEnd w:id="0"/>
    </w:p>
    <w:p w14:paraId="56D7A181" w14:textId="77777777" w:rsidR="00675CA9" w:rsidRDefault="00472078">
      <w:pPr>
        <w:snapToGrid w:val="0"/>
        <w:spacing w:line="276" w:lineRule="auto"/>
        <w:ind w:left="1985" w:hanging="1985"/>
        <w:rPr>
          <w:rFonts w:ascii="Arial" w:hAnsi="Arial" w:cs="Arial"/>
          <w:b/>
          <w:bCs/>
        </w:rPr>
      </w:pPr>
      <w:r>
        <w:rPr>
          <w:rFonts w:ascii="Arial" w:eastAsia="MS Mincho" w:hAnsi="Arial" w:cs="Times New Roman"/>
          <w:b/>
          <w:kern w:val="0"/>
        </w:rPr>
        <w:t>Document for:</w:t>
      </w:r>
      <w:r>
        <w:rPr>
          <w:rFonts w:ascii="Arial" w:eastAsia="宋体" w:hAnsi="Arial" w:cs="Times New Roman" w:hint="eastAsia"/>
          <w:b/>
          <w:kern w:val="0"/>
        </w:rPr>
        <w:t xml:space="preserve">   </w:t>
      </w:r>
      <w:r>
        <w:rPr>
          <w:rFonts w:ascii="Arial" w:eastAsia="MS Mincho" w:hAnsi="Arial" w:cs="Times New Roman"/>
          <w:b/>
          <w:kern w:val="0"/>
          <w:lang w:eastAsia="ja-JP"/>
        </w:rPr>
        <w:t>Discussion and Decision</w:t>
      </w:r>
    </w:p>
    <w:p w14:paraId="295BACAE" w14:textId="77777777" w:rsidR="00675CA9" w:rsidRDefault="00472078">
      <w:pPr>
        <w:pStyle w:val="1"/>
        <w:numPr>
          <w:ilvl w:val="0"/>
          <w:numId w:val="2"/>
        </w:numPr>
        <w:snapToGrid w:val="0"/>
        <w:spacing w:line="276" w:lineRule="auto"/>
        <w:rPr>
          <w:rFonts w:cs="Arial"/>
          <w:lang w:eastAsia="zh-CN"/>
        </w:rPr>
      </w:pPr>
      <w:r>
        <w:rPr>
          <w:rFonts w:ascii="Times New Roman" w:hAnsi="Times New Roman"/>
        </w:rPr>
        <w:tab/>
      </w:r>
      <w:r>
        <w:rPr>
          <w:rFonts w:cs="Arial"/>
        </w:rPr>
        <w:t>Introduction</w:t>
      </w:r>
    </w:p>
    <w:p w14:paraId="3CFC4862" w14:textId="77777777" w:rsidR="00675CA9" w:rsidRDefault="00472078">
      <w:pPr>
        <w:snapToGrid w:val="0"/>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RAN#10</w:t>
      </w:r>
      <w:r>
        <w:rPr>
          <w:rFonts w:ascii="Times New Roman" w:hAnsi="Times New Roman" w:cs="Times New Roman" w:hint="eastAsia"/>
          <w:sz w:val="20"/>
          <w:szCs w:val="20"/>
          <w:lang w:val="en-GB"/>
        </w:rPr>
        <w:t>3</w:t>
      </w:r>
      <w:r>
        <w:rPr>
          <w:rFonts w:ascii="Times New Roman" w:hAnsi="Times New Roman" w:cs="Times New Roman" w:hint="eastAsia"/>
          <w:sz w:val="20"/>
          <w:szCs w:val="20"/>
        </w:rPr>
        <w:t xml:space="preserve"> meeting</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the following RAN plenary work plan was agreed for IMT-2030 aspects</w:t>
      </w:r>
      <w:r>
        <w:rPr>
          <w:rFonts w:ascii="Times New Roman" w:hAnsi="Times New Roman" w:cs="Times New Roman"/>
          <w:sz w:val="20"/>
          <w:szCs w:val="20"/>
          <w:lang w:val="en-GB"/>
        </w:rPr>
        <w:t xml:space="preserve"> [1]</w:t>
      </w:r>
      <w:r>
        <w:rPr>
          <w:rFonts w:ascii="Times New Roman" w:hAnsi="Times New Roman" w:cs="Times New Roman" w:hint="eastAsia"/>
          <w:sz w:val="20"/>
          <w:szCs w:val="20"/>
        </w:rPr>
        <w:t xml:space="preserve"> where the RAN study includes two phases corresponding to ITU IMT-2030 TPR and 6G general aspects respectively.</w:t>
      </w:r>
      <w:r>
        <w:rPr>
          <w:rFonts w:ascii="Times New Roman" w:hAnsi="Times New Roman" w:cs="Times New Roman" w:hint="eastAsia"/>
          <w:sz w:val="20"/>
          <w:szCs w:val="20"/>
          <w:lang w:val="en-GB"/>
        </w:rPr>
        <w:t xml:space="preserve"> </w:t>
      </w:r>
    </w:p>
    <w:tbl>
      <w:tblPr>
        <w:tblStyle w:val="af5"/>
        <w:tblW w:w="0" w:type="auto"/>
        <w:tblLook w:val="04A0" w:firstRow="1" w:lastRow="0" w:firstColumn="1" w:lastColumn="0" w:noHBand="0" w:noVBand="1"/>
      </w:tblPr>
      <w:tblGrid>
        <w:gridCol w:w="9576"/>
      </w:tblGrid>
      <w:tr w:rsidR="00675CA9" w14:paraId="15DACED6" w14:textId="77777777">
        <w:tc>
          <w:tcPr>
            <w:tcW w:w="9576" w:type="dxa"/>
          </w:tcPr>
          <w:p w14:paraId="3571A1C8" w14:textId="77777777" w:rsidR="00675CA9" w:rsidRDefault="00472078">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RAN plenary work is split into an ITU focused SI (study item) and General RAN SI</w:t>
            </w:r>
          </w:p>
          <w:p w14:paraId="635848C0" w14:textId="77777777" w:rsidR="00675CA9" w:rsidRDefault="00472078">
            <w:pPr>
              <w:numPr>
                <w:ilvl w:val="0"/>
                <w:numId w:val="3"/>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IMT-2030 discussion is expected in RAN from 09/24 to 12/24</w:t>
            </w:r>
          </w:p>
          <w:p w14:paraId="4CEBD873" w14:textId="77777777" w:rsidR="00675CA9" w:rsidRDefault="00472078">
            <w:pPr>
              <w:numPr>
                <w:ilvl w:val="0"/>
                <w:numId w:val="3"/>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RP SI Rel-20 focusing on ITU– IMT-2030: approval 12/24 until 06/25</w:t>
            </w:r>
          </w:p>
          <w:p w14:paraId="0EDB806F" w14:textId="77777777" w:rsidR="00675CA9" w:rsidRDefault="00472078">
            <w:pPr>
              <w:numPr>
                <w:ilvl w:val="0"/>
                <w:numId w:val="3"/>
              </w:num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RP SI Rel-20 focusing on 6G General: approval 03/25 (after WS), until 06/26</w:t>
            </w:r>
          </w:p>
        </w:tc>
      </w:tr>
    </w:tbl>
    <w:p w14:paraId="063D972D" w14:textId="77777777" w:rsidR="00675CA9" w:rsidRDefault="00472078">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RAN#106 meeting, the new SID was endorsed for Study on 6G scenarios/use cases and requirements where the first phase on ITU TPR part is included</w:t>
      </w:r>
      <w:r>
        <w:rPr>
          <w:rFonts w:ascii="Times New Roman" w:hAnsi="Times New Roman" w:cs="Times New Roman"/>
          <w:sz w:val="20"/>
          <w:szCs w:val="20"/>
        </w:rPr>
        <w:t>.</w:t>
      </w:r>
      <w:r>
        <w:rPr>
          <w:rFonts w:ascii="Times New Roman" w:hAnsi="Times New Roman" w:cs="Times New Roman" w:hint="eastAsia"/>
          <w:sz w:val="20"/>
          <w:szCs w:val="20"/>
        </w:rPr>
        <w:t xml:space="preserve"> </w:t>
      </w:r>
    </w:p>
    <w:tbl>
      <w:tblPr>
        <w:tblStyle w:val="af5"/>
        <w:tblW w:w="0" w:type="auto"/>
        <w:tblLook w:val="04A0" w:firstRow="1" w:lastRow="0" w:firstColumn="1" w:lastColumn="0" w:noHBand="0" w:noVBand="1"/>
      </w:tblPr>
      <w:tblGrid>
        <w:gridCol w:w="9576"/>
      </w:tblGrid>
      <w:tr w:rsidR="00675CA9" w14:paraId="5F26217D" w14:textId="77777777">
        <w:trPr>
          <w:trHeight w:val="2213"/>
        </w:trPr>
        <w:tc>
          <w:tcPr>
            <w:tcW w:w="9576" w:type="dxa"/>
          </w:tcPr>
          <w:p w14:paraId="03DD4C01" w14:textId="77777777" w:rsidR="00675CA9" w:rsidRDefault="00472078">
            <w:pPr>
              <w:snapToGrid w:val="0"/>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This study item aims to </w:t>
            </w:r>
          </w:p>
          <w:p w14:paraId="5BB96DBF" w14:textId="77777777" w:rsidR="00675CA9" w:rsidRDefault="00472078">
            <w:pPr>
              <w:numPr>
                <w:ilvl w:val="0"/>
                <w:numId w:val="4"/>
              </w:numPr>
              <w:snapToGrid w:val="0"/>
              <w:spacing w:beforeLines="50" w:before="120" w:afterLines="50" w:after="120"/>
              <w:ind w:firstLineChars="200" w:firstLine="400"/>
              <w:rPr>
                <w:rFonts w:ascii="Times New Roman" w:hAnsi="Times New Roman" w:cs="Times New Roman"/>
                <w:sz w:val="20"/>
                <w:szCs w:val="20"/>
              </w:rPr>
            </w:pPr>
            <w:r>
              <w:rPr>
                <w:rFonts w:ascii="Times New Roman" w:hAnsi="Times New Roman" w:cs="Times New Roman"/>
                <w:sz w:val="20"/>
                <w:szCs w:val="20"/>
              </w:rPr>
              <w:t>investigate a candidate set of items for minimum TPRs based on the Recommendation ITU-R M.2160, and</w:t>
            </w:r>
            <w:r>
              <w:rPr>
                <w:rFonts w:ascii="Times New Roman" w:hAnsi="Times New Roman" w:cs="Times New Roman" w:hint="eastAsia"/>
                <w:sz w:val="20"/>
                <w:szCs w:val="20"/>
              </w:rPr>
              <w:t>, where applicable,</w:t>
            </w:r>
            <w:r>
              <w:rPr>
                <w:rFonts w:ascii="Times New Roman" w:hAnsi="Times New Roman" w:cs="Times New Roman"/>
                <w:sz w:val="20"/>
                <w:szCs w:val="20"/>
              </w:rPr>
              <w:t xml:space="preserve"> the associated target values </w:t>
            </w:r>
            <w:r>
              <w:rPr>
                <w:rFonts w:ascii="Times New Roman" w:hAnsi="Times New Roman" w:cs="Times New Roman" w:hint="eastAsia"/>
                <w:sz w:val="20"/>
                <w:szCs w:val="20"/>
              </w:rPr>
              <w:t xml:space="preserve">and key assumptions </w:t>
            </w:r>
            <w:r>
              <w:rPr>
                <w:rFonts w:ascii="Times New Roman" w:hAnsi="Times New Roman" w:cs="Times New Roman"/>
                <w:sz w:val="20"/>
                <w:szCs w:val="20"/>
              </w:rPr>
              <w:t>for the identified minimum TPRs.</w:t>
            </w:r>
          </w:p>
          <w:p w14:paraId="73B418BE" w14:textId="77777777" w:rsidR="00675CA9" w:rsidRDefault="00472078">
            <w:pPr>
              <w:numPr>
                <w:ilvl w:val="1"/>
                <w:numId w:val="4"/>
              </w:numPr>
              <w:snapToGrid w:val="0"/>
              <w:spacing w:beforeLines="50" w:before="120" w:afterLines="50" w:after="120"/>
              <w:ind w:firstLineChars="200" w:firstLine="400"/>
              <w:rPr>
                <w:rFonts w:ascii="Times New Roman" w:hAnsi="Times New Roman" w:cs="Times New Roman"/>
                <w:sz w:val="20"/>
                <w:szCs w:val="20"/>
              </w:rPr>
            </w:pPr>
            <w:r>
              <w:rPr>
                <w:rFonts w:ascii="Times New Roman" w:hAnsi="Times New Roman" w:cs="Times New Roman"/>
                <w:sz w:val="20"/>
                <w:szCs w:val="20"/>
              </w:rPr>
              <w:t xml:space="preserve">The outcome is expected to be shared </w:t>
            </w:r>
            <w:r>
              <w:rPr>
                <w:rFonts w:ascii="Times New Roman" w:hAnsi="Times New Roman" w:cs="Times New Roman" w:hint="eastAsia"/>
                <w:sz w:val="20"/>
                <w:szCs w:val="20"/>
              </w:rPr>
              <w:t xml:space="preserve">by LS </w:t>
            </w:r>
            <w:r>
              <w:rPr>
                <w:rFonts w:ascii="Times New Roman" w:hAnsi="Times New Roman" w:cs="Times New Roman"/>
                <w:sz w:val="20"/>
                <w:szCs w:val="20"/>
              </w:rPr>
              <w:t>with ITU-R WP5D, as suitable, and used as a baseline for the subsequent study 6G in RAN</w:t>
            </w:r>
          </w:p>
        </w:tc>
      </w:tr>
    </w:tbl>
    <w:p w14:paraId="54DFAAF9" w14:textId="77777777" w:rsidR="00675CA9" w:rsidRDefault="00472078">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In RAN#107, the moderator submitted a document comprising of all the proposals received from the meeting, as well as a moderator</w:t>
      </w:r>
      <w:r>
        <w:rPr>
          <w:rFonts w:ascii="Times New Roman" w:hAnsi="Times New Roman" w:cs="Times New Roman"/>
          <w:sz w:val="20"/>
          <w:szCs w:val="20"/>
        </w:rPr>
        <w:t>’</w:t>
      </w:r>
      <w:r>
        <w:rPr>
          <w:rFonts w:ascii="Times New Roman" w:hAnsi="Times New Roman" w:cs="Times New Roman" w:hint="eastAsia"/>
          <w:sz w:val="20"/>
          <w:szCs w:val="20"/>
        </w:rPr>
        <w:t xml:space="preserve">s proposal to move forward by selecting the middle values within the whole range. The moderator proposal is captured in RP-250819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_Ref195879845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hint="eastAsia"/>
          <w:sz w:val="20"/>
          <w:szCs w:val="20"/>
        </w:rPr>
        <w:t>.</w:t>
      </w:r>
    </w:p>
    <w:p w14:paraId="0CDC210C" w14:textId="77777777" w:rsidR="00675CA9" w:rsidRDefault="00472078">
      <w:pPr>
        <w:snapToGrid w:val="0"/>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RAN#108 meeting, some preliminary agreements have been made regarding the TPRs and their values, as captured in the reply LS to ITU-R WP 5D RP-251825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_Ref204161495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[9]</w:t>
      </w:r>
      <w:r>
        <w:rPr>
          <w:rFonts w:ascii="Times New Roman" w:hAnsi="Times New Roman" w:cs="Times New Roman"/>
          <w:sz w:val="20"/>
          <w:szCs w:val="20"/>
        </w:rPr>
        <w:fldChar w:fldCharType="end"/>
      </w:r>
      <w:r>
        <w:rPr>
          <w:rFonts w:ascii="Times New Roman" w:hAnsi="Times New Roman" w:cs="Times New Roman" w:hint="eastAsia"/>
          <w:sz w:val="20"/>
          <w:szCs w:val="20"/>
        </w:rPr>
        <w:t>. I</w:t>
      </w:r>
      <w:r>
        <w:rPr>
          <w:rFonts w:ascii="Times New Roman" w:hAnsi="Times New Roman" w:cs="Times New Roman"/>
          <w:sz w:val="20"/>
          <w:szCs w:val="20"/>
        </w:rPr>
        <w:t>n this contribution, we provide</w:t>
      </w:r>
      <w:r>
        <w:rPr>
          <w:rFonts w:ascii="Times New Roman" w:hAnsi="Times New Roman" w:cs="Times New Roman" w:hint="eastAsia"/>
          <w:sz w:val="20"/>
          <w:szCs w:val="20"/>
        </w:rPr>
        <w:t xml:space="preserve"> our views on </w:t>
      </w:r>
      <w:r>
        <w:rPr>
          <w:rFonts w:ascii="Times New Roman" w:hAnsi="Times New Roman" w:cs="Times New Roman"/>
          <w:sz w:val="20"/>
          <w:szCs w:val="20"/>
        </w:rPr>
        <w:t xml:space="preserve">some </w:t>
      </w:r>
      <w:r>
        <w:rPr>
          <w:rFonts w:ascii="Times New Roman" w:hAnsi="Times New Roman" w:cs="Times New Roman" w:hint="eastAsia"/>
          <w:sz w:val="20"/>
          <w:szCs w:val="20"/>
        </w:rPr>
        <w:t>TPR values</w:t>
      </w:r>
      <w:r>
        <w:rPr>
          <w:rFonts w:ascii="Times New Roman" w:hAnsi="Times New Roman" w:cs="Times New Roman"/>
          <w:sz w:val="20"/>
          <w:szCs w:val="20"/>
        </w:rPr>
        <w:t xml:space="preserve"> that are still TBD</w:t>
      </w:r>
      <w:r>
        <w:rPr>
          <w:rFonts w:ascii="Times New Roman" w:hAnsi="Times New Roman" w:cs="Times New Roman" w:hint="eastAsia"/>
          <w:sz w:val="20"/>
          <w:szCs w:val="20"/>
        </w:rPr>
        <w:t>.</w:t>
      </w:r>
    </w:p>
    <w:p w14:paraId="73EC79C3" w14:textId="77777777" w:rsidR="00675CA9" w:rsidRDefault="00472078">
      <w:pPr>
        <w:pStyle w:val="1"/>
        <w:numPr>
          <w:ilvl w:val="0"/>
          <w:numId w:val="2"/>
        </w:numPr>
        <w:snapToGrid w:val="0"/>
        <w:spacing w:line="276" w:lineRule="auto"/>
        <w:rPr>
          <w:rFonts w:cs="Arial"/>
          <w:szCs w:val="22"/>
        </w:rPr>
      </w:pPr>
      <w:r>
        <w:rPr>
          <w:rFonts w:cs="Arial"/>
          <w:szCs w:val="22"/>
        </w:rPr>
        <w:t>TPR candidates and values</w:t>
      </w:r>
    </w:p>
    <w:p w14:paraId="520814B7" w14:textId="77777777" w:rsidR="00675CA9" w:rsidRDefault="00472078">
      <w:pPr>
        <w:snapToGrid w:val="0"/>
        <w:spacing w:beforeLines="50" w:before="120" w:after="1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 ITU-R WP5D#4</w:t>
      </w:r>
      <w:r>
        <w:rPr>
          <w:rFonts w:ascii="Times New Roman" w:hAnsi="Times New Roman" w:cs="Times New Roman" w:hint="eastAsia"/>
          <w:color w:val="000000"/>
          <w:sz w:val="20"/>
          <w:szCs w:val="20"/>
        </w:rPr>
        <w:t>8</w:t>
      </w:r>
      <w:r>
        <w:rPr>
          <w:rFonts w:ascii="Times New Roman" w:eastAsia="Times New Roman" w:hAnsi="Times New Roman" w:cs="Times New Roman"/>
          <w:color w:val="000000"/>
          <w:sz w:val="20"/>
          <w:szCs w:val="20"/>
        </w:rPr>
        <w:t xml:space="preserve"> in February 2025, a preliminary list of Minimum Technical Performance Requirements (MTPRs) [4] was agreed and sent to SWG Evaluation from SWG radio aspects as shown below:</w:t>
      </w:r>
    </w:p>
    <w:p w14:paraId="1B0F9975" w14:textId="77777777" w:rsidR="00675CA9" w:rsidRDefault="00675CA9">
      <w:pPr>
        <w:snapToGrid w:val="0"/>
        <w:spacing w:beforeLines="50" w:before="120" w:after="120"/>
        <w:rPr>
          <w:rFonts w:ascii="Times New Roman" w:eastAsia="Times New Roman" w:hAnsi="Times New Roman" w:cs="Times New Roman"/>
          <w:color w:val="000000"/>
          <w:sz w:val="20"/>
          <w:szCs w:val="20"/>
        </w:rPr>
      </w:pPr>
    </w:p>
    <w:p w14:paraId="407EE356" w14:textId="77777777" w:rsidR="00675CA9" w:rsidRDefault="00472078">
      <w:pPr>
        <w:pStyle w:val="Tabletitle"/>
        <w:snapToGrid w:val="0"/>
      </w:pPr>
      <w:r>
        <w:lastRenderedPageBreak/>
        <w:t>Preliminary list of Minimum Technical Performance Requirements</w:t>
      </w:r>
    </w:p>
    <w:p w14:paraId="5EE43F2B" w14:textId="77777777" w:rsidR="00675CA9" w:rsidRDefault="00472078">
      <w:pPr>
        <w:pStyle w:val="Note"/>
        <w:snapToGrid w:val="0"/>
        <w:jc w:val="center"/>
        <w:rPr>
          <w:i/>
          <w:iCs/>
          <w:sz w:val="20"/>
          <w:szCs w:val="18"/>
        </w:rPr>
      </w:pPr>
      <w:r>
        <w:rPr>
          <w:i/>
          <w:iCs/>
          <w:sz w:val="20"/>
          <w:szCs w:val="18"/>
        </w:rPr>
        <w:t>(Note: Square brackets indicate further discussion required)</w:t>
      </w:r>
    </w:p>
    <w:tbl>
      <w:tblPr>
        <w:tblStyle w:val="af5"/>
        <w:tblW w:w="0" w:type="auto"/>
        <w:jc w:val="center"/>
        <w:tblLook w:val="04A0" w:firstRow="1" w:lastRow="0" w:firstColumn="1" w:lastColumn="0" w:noHBand="0" w:noVBand="1"/>
      </w:tblPr>
      <w:tblGrid>
        <w:gridCol w:w="4955"/>
        <w:gridCol w:w="1805"/>
      </w:tblGrid>
      <w:tr w:rsidR="00675CA9" w14:paraId="4AC00618" w14:textId="77777777">
        <w:trPr>
          <w:tblHeader/>
          <w:jc w:val="center"/>
        </w:trPr>
        <w:tc>
          <w:tcPr>
            <w:tcW w:w="4955" w:type="dxa"/>
          </w:tcPr>
          <w:p w14:paraId="75584828" w14:textId="77777777" w:rsidR="00675CA9" w:rsidRDefault="00472078">
            <w:pPr>
              <w:pStyle w:val="Tablehead"/>
              <w:snapToGrid w:val="0"/>
              <w:spacing w:before="0" w:after="0"/>
            </w:pPr>
            <w:r>
              <w:t>Minimum Technical Performance Requirement</w:t>
            </w:r>
          </w:p>
        </w:tc>
        <w:tc>
          <w:tcPr>
            <w:tcW w:w="1805" w:type="dxa"/>
          </w:tcPr>
          <w:p w14:paraId="56D52A2E" w14:textId="77777777" w:rsidR="00675CA9" w:rsidRDefault="00472078">
            <w:pPr>
              <w:pStyle w:val="Tablehead"/>
              <w:snapToGrid w:val="0"/>
              <w:spacing w:before="0" w:after="0"/>
            </w:pPr>
            <w:r>
              <w:t>Method</w:t>
            </w:r>
          </w:p>
        </w:tc>
      </w:tr>
      <w:tr w:rsidR="00675CA9" w14:paraId="50A1955C" w14:textId="77777777">
        <w:trPr>
          <w:jc w:val="center"/>
        </w:trPr>
        <w:tc>
          <w:tcPr>
            <w:tcW w:w="4955" w:type="dxa"/>
          </w:tcPr>
          <w:p w14:paraId="43B6A953" w14:textId="77777777" w:rsidR="00675CA9" w:rsidRDefault="00472078">
            <w:pPr>
              <w:pStyle w:val="Tabletext"/>
              <w:snapToGrid w:val="0"/>
              <w:spacing w:before="0" w:after="0"/>
            </w:pPr>
            <w:r>
              <w:t>AI-related capabilities</w:t>
            </w:r>
          </w:p>
        </w:tc>
        <w:tc>
          <w:tcPr>
            <w:tcW w:w="1805" w:type="dxa"/>
          </w:tcPr>
          <w:p w14:paraId="518AB07D" w14:textId="77777777" w:rsidR="00675CA9" w:rsidRDefault="00472078">
            <w:pPr>
              <w:pStyle w:val="Tabletext"/>
              <w:snapToGrid w:val="0"/>
              <w:spacing w:before="0" w:after="0"/>
              <w:rPr>
                <w:i/>
                <w:iCs/>
              </w:rPr>
            </w:pPr>
            <w:r>
              <w:rPr>
                <w:i/>
                <w:iCs/>
              </w:rPr>
              <w:t>(to be determined)</w:t>
            </w:r>
          </w:p>
        </w:tc>
      </w:tr>
      <w:tr w:rsidR="00675CA9" w14:paraId="49E3B848" w14:textId="77777777">
        <w:trPr>
          <w:jc w:val="center"/>
        </w:trPr>
        <w:tc>
          <w:tcPr>
            <w:tcW w:w="4955" w:type="dxa"/>
          </w:tcPr>
          <w:p w14:paraId="61EBBE1D" w14:textId="77777777" w:rsidR="00675CA9" w:rsidRDefault="00472078">
            <w:pPr>
              <w:pStyle w:val="Tabletext"/>
              <w:snapToGrid w:val="0"/>
              <w:spacing w:before="0" w:after="0"/>
              <w:rPr>
                <w:rFonts w:eastAsia="Gulim"/>
                <w:szCs w:val="24"/>
              </w:rPr>
            </w:pPr>
            <w:r>
              <w:rPr>
                <w:rFonts w:eastAsia="Gulim"/>
                <w:szCs w:val="24"/>
              </w:rPr>
              <w:t xml:space="preserve">Area traffic capacity </w:t>
            </w:r>
          </w:p>
        </w:tc>
        <w:tc>
          <w:tcPr>
            <w:tcW w:w="1805" w:type="dxa"/>
          </w:tcPr>
          <w:p w14:paraId="2BE95A9E" w14:textId="77777777" w:rsidR="00675CA9" w:rsidRDefault="00472078">
            <w:pPr>
              <w:pStyle w:val="Tabletext"/>
              <w:snapToGrid w:val="0"/>
              <w:spacing w:before="0" w:after="0"/>
              <w:rPr>
                <w:rFonts w:eastAsia="Gulim"/>
                <w:szCs w:val="24"/>
              </w:rPr>
            </w:pPr>
            <w:r>
              <w:rPr>
                <w:rFonts w:eastAsia="Gulim"/>
                <w:szCs w:val="24"/>
              </w:rPr>
              <w:t>(Quantitative)</w:t>
            </w:r>
          </w:p>
          <w:p w14:paraId="32463172" w14:textId="77777777" w:rsidR="00675CA9" w:rsidRDefault="00472078">
            <w:pPr>
              <w:pStyle w:val="Tabletext"/>
              <w:snapToGrid w:val="0"/>
              <w:spacing w:before="0" w:after="0"/>
              <w:rPr>
                <w:i/>
                <w:iCs/>
              </w:rPr>
            </w:pPr>
            <w:r>
              <w:t>(</w:t>
            </w:r>
            <w:r>
              <w:rPr>
                <w:i/>
                <w:iCs/>
              </w:rPr>
              <w:t>Note 1)</w:t>
            </w:r>
          </w:p>
        </w:tc>
      </w:tr>
      <w:tr w:rsidR="00675CA9" w14:paraId="39791620" w14:textId="77777777">
        <w:trPr>
          <w:jc w:val="center"/>
        </w:trPr>
        <w:tc>
          <w:tcPr>
            <w:tcW w:w="4955" w:type="dxa"/>
          </w:tcPr>
          <w:p w14:paraId="40218224" w14:textId="77777777" w:rsidR="00675CA9" w:rsidRDefault="00472078">
            <w:pPr>
              <w:pStyle w:val="Tabletext"/>
              <w:snapToGrid w:val="0"/>
              <w:spacing w:before="0" w:after="0"/>
            </w:pPr>
            <w:r>
              <w:t>Average Spectral efficiency</w:t>
            </w:r>
          </w:p>
        </w:tc>
        <w:tc>
          <w:tcPr>
            <w:tcW w:w="1805" w:type="dxa"/>
          </w:tcPr>
          <w:p w14:paraId="608A6CB4" w14:textId="77777777" w:rsidR="00675CA9" w:rsidRDefault="00472078">
            <w:pPr>
              <w:pStyle w:val="Tabletext"/>
              <w:snapToGrid w:val="0"/>
              <w:spacing w:before="0" w:after="0"/>
            </w:pPr>
            <w:r>
              <w:rPr>
                <w:rFonts w:eastAsia="Gulim"/>
                <w:szCs w:val="24"/>
              </w:rPr>
              <w:t>(Quantitative)</w:t>
            </w:r>
          </w:p>
        </w:tc>
      </w:tr>
      <w:tr w:rsidR="00675CA9" w14:paraId="0A7E727C" w14:textId="77777777">
        <w:trPr>
          <w:jc w:val="center"/>
        </w:trPr>
        <w:tc>
          <w:tcPr>
            <w:tcW w:w="4955" w:type="dxa"/>
          </w:tcPr>
          <w:p w14:paraId="75529034" w14:textId="77777777" w:rsidR="00675CA9" w:rsidRDefault="00472078">
            <w:pPr>
              <w:pStyle w:val="Tabletext"/>
              <w:snapToGrid w:val="0"/>
              <w:spacing w:before="0" w:after="0"/>
              <w:rPr>
                <w:rFonts w:eastAsia="Gulim"/>
                <w:szCs w:val="24"/>
              </w:rPr>
            </w:pPr>
            <w:r>
              <w:rPr>
                <w:rFonts w:eastAsia="Gulim"/>
                <w:szCs w:val="24"/>
              </w:rPr>
              <w:t>Peak spectral efficiency</w:t>
            </w:r>
          </w:p>
        </w:tc>
        <w:tc>
          <w:tcPr>
            <w:tcW w:w="1805" w:type="dxa"/>
          </w:tcPr>
          <w:p w14:paraId="7B731F23"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3FB43D50" w14:textId="77777777">
        <w:trPr>
          <w:jc w:val="center"/>
        </w:trPr>
        <w:tc>
          <w:tcPr>
            <w:tcW w:w="4955" w:type="dxa"/>
          </w:tcPr>
          <w:p w14:paraId="2FFAC0C3" w14:textId="77777777" w:rsidR="00675CA9" w:rsidRDefault="00472078">
            <w:pPr>
              <w:pStyle w:val="Tabletext"/>
              <w:snapToGrid w:val="0"/>
              <w:spacing w:before="0" w:after="0"/>
              <w:rPr>
                <w:rFonts w:eastAsia="Gulim"/>
                <w:szCs w:val="24"/>
              </w:rPr>
            </w:pPr>
            <w:r>
              <w:t>5th percentile user Spectral efficiency</w:t>
            </w:r>
          </w:p>
        </w:tc>
        <w:tc>
          <w:tcPr>
            <w:tcW w:w="1805" w:type="dxa"/>
          </w:tcPr>
          <w:p w14:paraId="41C1B7C8"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7C874B48" w14:textId="77777777">
        <w:trPr>
          <w:jc w:val="center"/>
        </w:trPr>
        <w:tc>
          <w:tcPr>
            <w:tcW w:w="4955" w:type="dxa"/>
          </w:tcPr>
          <w:p w14:paraId="00A0EEBF" w14:textId="77777777" w:rsidR="00675CA9" w:rsidRDefault="00472078">
            <w:pPr>
              <w:pStyle w:val="Tabletext"/>
              <w:snapToGrid w:val="0"/>
              <w:spacing w:before="0" w:after="0"/>
              <w:rPr>
                <w:rFonts w:eastAsia="Gulim"/>
                <w:szCs w:val="24"/>
              </w:rPr>
            </w:pPr>
            <w:r>
              <w:rPr>
                <w:rFonts w:eastAsia="Gulim"/>
                <w:szCs w:val="24"/>
              </w:rPr>
              <w:t>Bandwidth</w:t>
            </w:r>
          </w:p>
        </w:tc>
        <w:tc>
          <w:tcPr>
            <w:tcW w:w="1805" w:type="dxa"/>
          </w:tcPr>
          <w:p w14:paraId="38F3D035"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68F3F1A1" w14:textId="77777777">
        <w:trPr>
          <w:jc w:val="center"/>
        </w:trPr>
        <w:tc>
          <w:tcPr>
            <w:tcW w:w="4955" w:type="dxa"/>
          </w:tcPr>
          <w:p w14:paraId="6D600024" w14:textId="77777777" w:rsidR="00675CA9" w:rsidRDefault="00472078">
            <w:pPr>
              <w:pStyle w:val="Tabletext"/>
              <w:snapToGrid w:val="0"/>
              <w:spacing w:before="0" w:after="0"/>
              <w:rPr>
                <w:rFonts w:eastAsia="Gulim"/>
                <w:szCs w:val="24"/>
              </w:rPr>
            </w:pPr>
            <w:r>
              <w:rPr>
                <w:rFonts w:eastAsia="Gulim"/>
                <w:szCs w:val="24"/>
              </w:rPr>
              <w:t>Connection density</w:t>
            </w:r>
          </w:p>
        </w:tc>
        <w:tc>
          <w:tcPr>
            <w:tcW w:w="1805" w:type="dxa"/>
          </w:tcPr>
          <w:p w14:paraId="16F25001" w14:textId="77777777" w:rsidR="00675CA9" w:rsidRDefault="00472078">
            <w:pPr>
              <w:pStyle w:val="Tabletext"/>
              <w:snapToGrid w:val="0"/>
              <w:spacing w:before="0" w:after="0"/>
            </w:pPr>
            <w:r>
              <w:rPr>
                <w:rFonts w:eastAsia="Gulim"/>
                <w:szCs w:val="24"/>
              </w:rPr>
              <w:t>(Quantitative)</w:t>
            </w:r>
          </w:p>
        </w:tc>
      </w:tr>
      <w:tr w:rsidR="00675CA9" w14:paraId="18D659F7" w14:textId="77777777">
        <w:trPr>
          <w:jc w:val="center"/>
        </w:trPr>
        <w:tc>
          <w:tcPr>
            <w:tcW w:w="4955" w:type="dxa"/>
          </w:tcPr>
          <w:p w14:paraId="7189A153" w14:textId="77777777" w:rsidR="00675CA9" w:rsidRDefault="00472078">
            <w:pPr>
              <w:pStyle w:val="Tabletext"/>
              <w:snapToGrid w:val="0"/>
              <w:spacing w:before="0" w:after="0"/>
            </w:pPr>
            <w:r>
              <w:t xml:space="preserve">Control plane latency </w:t>
            </w:r>
          </w:p>
        </w:tc>
        <w:tc>
          <w:tcPr>
            <w:tcW w:w="1805" w:type="dxa"/>
          </w:tcPr>
          <w:p w14:paraId="47FEE650" w14:textId="77777777" w:rsidR="00675CA9" w:rsidRDefault="00472078">
            <w:pPr>
              <w:pStyle w:val="Tabletext"/>
              <w:snapToGrid w:val="0"/>
              <w:spacing w:before="0" w:after="0"/>
            </w:pPr>
            <w:r>
              <w:rPr>
                <w:rFonts w:eastAsia="Gulim"/>
                <w:szCs w:val="24"/>
              </w:rPr>
              <w:t>(Quantitative)</w:t>
            </w:r>
          </w:p>
        </w:tc>
      </w:tr>
      <w:tr w:rsidR="00675CA9" w14:paraId="6E10EE95" w14:textId="77777777">
        <w:trPr>
          <w:jc w:val="center"/>
        </w:trPr>
        <w:tc>
          <w:tcPr>
            <w:tcW w:w="4955" w:type="dxa"/>
          </w:tcPr>
          <w:p w14:paraId="72461678" w14:textId="77777777" w:rsidR="00675CA9" w:rsidRDefault="00472078">
            <w:pPr>
              <w:pStyle w:val="Tabletext"/>
              <w:snapToGrid w:val="0"/>
              <w:spacing w:before="0" w:after="0"/>
              <w:rPr>
                <w:rFonts w:eastAsia="Gulim"/>
                <w:szCs w:val="24"/>
              </w:rPr>
            </w:pPr>
            <w:r>
              <w:rPr>
                <w:rFonts w:eastAsia="Gulim"/>
                <w:szCs w:val="24"/>
              </w:rPr>
              <w:t xml:space="preserve">User plane latency </w:t>
            </w:r>
          </w:p>
        </w:tc>
        <w:tc>
          <w:tcPr>
            <w:tcW w:w="1805" w:type="dxa"/>
          </w:tcPr>
          <w:p w14:paraId="05D8ED36"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1C3E0C33" w14:textId="77777777">
        <w:trPr>
          <w:jc w:val="center"/>
        </w:trPr>
        <w:tc>
          <w:tcPr>
            <w:tcW w:w="4955" w:type="dxa"/>
          </w:tcPr>
          <w:p w14:paraId="1A9DAC4A" w14:textId="77777777" w:rsidR="00675CA9" w:rsidRDefault="00472078">
            <w:pPr>
              <w:pStyle w:val="Tabletext"/>
              <w:snapToGrid w:val="0"/>
              <w:spacing w:before="0" w:after="0"/>
            </w:pPr>
            <w:r>
              <w:t xml:space="preserve">Energy Efficiency </w:t>
            </w:r>
          </w:p>
        </w:tc>
        <w:tc>
          <w:tcPr>
            <w:tcW w:w="1805" w:type="dxa"/>
          </w:tcPr>
          <w:p w14:paraId="2DE74490" w14:textId="77777777" w:rsidR="00675CA9" w:rsidRDefault="00472078">
            <w:pPr>
              <w:pStyle w:val="Tabletext"/>
              <w:snapToGrid w:val="0"/>
              <w:spacing w:before="0" w:after="0"/>
            </w:pPr>
            <w:r>
              <w:rPr>
                <w:rFonts w:eastAsia="Gulim"/>
                <w:szCs w:val="24"/>
              </w:rPr>
              <w:t>(Quantitative)</w:t>
            </w:r>
          </w:p>
        </w:tc>
      </w:tr>
      <w:tr w:rsidR="00675CA9" w14:paraId="21DF92F4" w14:textId="77777777">
        <w:trPr>
          <w:jc w:val="center"/>
        </w:trPr>
        <w:tc>
          <w:tcPr>
            <w:tcW w:w="4955" w:type="dxa"/>
          </w:tcPr>
          <w:p w14:paraId="1366C9BC" w14:textId="77777777" w:rsidR="00675CA9" w:rsidRDefault="00472078">
            <w:pPr>
              <w:pStyle w:val="Tabletext"/>
              <w:snapToGrid w:val="0"/>
              <w:spacing w:before="0" w:after="0"/>
            </w:pPr>
            <w:r>
              <w:t>Mobility</w:t>
            </w:r>
          </w:p>
        </w:tc>
        <w:tc>
          <w:tcPr>
            <w:tcW w:w="1805" w:type="dxa"/>
          </w:tcPr>
          <w:p w14:paraId="6955F687" w14:textId="77777777" w:rsidR="00675CA9" w:rsidRDefault="00472078">
            <w:pPr>
              <w:pStyle w:val="Tabletext"/>
              <w:snapToGrid w:val="0"/>
              <w:spacing w:before="0" w:after="0"/>
            </w:pPr>
            <w:r>
              <w:t xml:space="preserve"> </w:t>
            </w:r>
            <w:r>
              <w:rPr>
                <w:rFonts w:eastAsia="Gulim"/>
                <w:szCs w:val="24"/>
              </w:rPr>
              <w:t>(Quantitative)</w:t>
            </w:r>
          </w:p>
        </w:tc>
      </w:tr>
      <w:tr w:rsidR="00675CA9" w14:paraId="5D2720CC" w14:textId="77777777">
        <w:trPr>
          <w:jc w:val="center"/>
        </w:trPr>
        <w:tc>
          <w:tcPr>
            <w:tcW w:w="4955" w:type="dxa"/>
          </w:tcPr>
          <w:p w14:paraId="1915626D" w14:textId="77777777" w:rsidR="00675CA9" w:rsidRDefault="00472078">
            <w:pPr>
              <w:pStyle w:val="Tabletext"/>
              <w:snapToGrid w:val="0"/>
              <w:spacing w:before="0" w:after="0"/>
              <w:rPr>
                <w:rFonts w:eastAsia="Gulim"/>
                <w:szCs w:val="24"/>
              </w:rPr>
            </w:pPr>
            <w:r>
              <w:rPr>
                <w:rFonts w:eastAsia="Gulim"/>
                <w:szCs w:val="24"/>
              </w:rPr>
              <w:t xml:space="preserve">Mobility interruption time </w:t>
            </w:r>
          </w:p>
        </w:tc>
        <w:tc>
          <w:tcPr>
            <w:tcW w:w="1805" w:type="dxa"/>
          </w:tcPr>
          <w:p w14:paraId="646DA385" w14:textId="77777777" w:rsidR="00675CA9" w:rsidRDefault="00472078">
            <w:pPr>
              <w:pStyle w:val="Tabletext"/>
              <w:snapToGrid w:val="0"/>
              <w:spacing w:before="0" w:after="0"/>
            </w:pPr>
            <w:r>
              <w:rPr>
                <w:rFonts w:eastAsia="Gulim"/>
                <w:szCs w:val="24"/>
              </w:rPr>
              <w:t>(Quantitative)</w:t>
            </w:r>
          </w:p>
        </w:tc>
      </w:tr>
      <w:tr w:rsidR="00675CA9" w14:paraId="1618226D" w14:textId="77777777">
        <w:trPr>
          <w:jc w:val="center"/>
        </w:trPr>
        <w:tc>
          <w:tcPr>
            <w:tcW w:w="4955" w:type="dxa"/>
          </w:tcPr>
          <w:p w14:paraId="41221923" w14:textId="77777777" w:rsidR="00675CA9" w:rsidRDefault="00472078">
            <w:pPr>
              <w:pStyle w:val="Tabletext"/>
              <w:snapToGrid w:val="0"/>
              <w:spacing w:before="0" w:after="0"/>
              <w:rPr>
                <w:rFonts w:eastAsia="Gulim"/>
                <w:szCs w:val="24"/>
              </w:rPr>
            </w:pPr>
            <w:r>
              <w:rPr>
                <w:rFonts w:eastAsia="Gulim"/>
                <w:szCs w:val="24"/>
              </w:rPr>
              <w:t>Peak data rate</w:t>
            </w:r>
          </w:p>
        </w:tc>
        <w:tc>
          <w:tcPr>
            <w:tcW w:w="1805" w:type="dxa"/>
          </w:tcPr>
          <w:p w14:paraId="542B2430"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431F7881" w14:textId="77777777">
        <w:trPr>
          <w:jc w:val="center"/>
        </w:trPr>
        <w:tc>
          <w:tcPr>
            <w:tcW w:w="4955" w:type="dxa"/>
          </w:tcPr>
          <w:p w14:paraId="36ED7309" w14:textId="77777777" w:rsidR="00675CA9" w:rsidRDefault="00472078">
            <w:pPr>
              <w:pStyle w:val="Tabletext"/>
              <w:snapToGrid w:val="0"/>
              <w:spacing w:before="0" w:after="0"/>
              <w:rPr>
                <w:rFonts w:eastAsia="Gulim"/>
                <w:szCs w:val="24"/>
              </w:rPr>
            </w:pPr>
            <w:bookmarkStart w:id="1" w:name="_Hlk204759249"/>
            <w:r>
              <w:rPr>
                <w:rFonts w:eastAsia="Gulim"/>
                <w:szCs w:val="24"/>
              </w:rPr>
              <w:t>User Experienced Data Rate</w:t>
            </w:r>
          </w:p>
        </w:tc>
        <w:tc>
          <w:tcPr>
            <w:tcW w:w="1805" w:type="dxa"/>
          </w:tcPr>
          <w:p w14:paraId="4E62E607" w14:textId="77777777" w:rsidR="00675CA9" w:rsidRDefault="00472078">
            <w:pPr>
              <w:pStyle w:val="Tabletext"/>
              <w:snapToGrid w:val="0"/>
              <w:spacing w:before="0" w:after="0"/>
              <w:rPr>
                <w:rFonts w:eastAsia="Gulim"/>
                <w:szCs w:val="24"/>
              </w:rPr>
            </w:pPr>
            <w:r>
              <w:rPr>
                <w:rFonts w:eastAsia="Gulim"/>
                <w:szCs w:val="24"/>
              </w:rPr>
              <w:t>(Quantitative)</w:t>
            </w:r>
          </w:p>
        </w:tc>
      </w:tr>
      <w:bookmarkEnd w:id="1"/>
      <w:tr w:rsidR="00675CA9" w14:paraId="72E24CAA" w14:textId="77777777">
        <w:trPr>
          <w:jc w:val="center"/>
        </w:trPr>
        <w:tc>
          <w:tcPr>
            <w:tcW w:w="4955" w:type="dxa"/>
          </w:tcPr>
          <w:p w14:paraId="295EBE2A" w14:textId="77777777" w:rsidR="00675CA9" w:rsidRDefault="00472078">
            <w:pPr>
              <w:pStyle w:val="Tabletext"/>
              <w:snapToGrid w:val="0"/>
              <w:spacing w:before="0" w:after="0"/>
              <w:rPr>
                <w:rFonts w:eastAsia="Gulim"/>
                <w:szCs w:val="24"/>
              </w:rPr>
            </w:pPr>
            <w:r>
              <w:rPr>
                <w:rFonts w:eastAsia="Gulim"/>
                <w:szCs w:val="24"/>
              </w:rPr>
              <w:t>Sensing-related capabilities</w:t>
            </w:r>
          </w:p>
        </w:tc>
        <w:tc>
          <w:tcPr>
            <w:tcW w:w="1805" w:type="dxa"/>
          </w:tcPr>
          <w:p w14:paraId="32B207CF"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48DA0E21" w14:textId="77777777">
        <w:trPr>
          <w:jc w:val="center"/>
        </w:trPr>
        <w:tc>
          <w:tcPr>
            <w:tcW w:w="4955" w:type="dxa"/>
          </w:tcPr>
          <w:p w14:paraId="6EA405FF" w14:textId="77777777" w:rsidR="00675CA9" w:rsidRDefault="00472078">
            <w:pPr>
              <w:pStyle w:val="Tabletext"/>
              <w:snapToGrid w:val="0"/>
              <w:spacing w:before="0" w:after="0"/>
              <w:rPr>
                <w:rFonts w:eastAsia="Gulim"/>
                <w:szCs w:val="24"/>
              </w:rPr>
            </w:pPr>
            <w:r>
              <w:rPr>
                <w:rFonts w:eastAsia="Gulim"/>
                <w:szCs w:val="24"/>
              </w:rPr>
              <w:t>Positioning</w:t>
            </w:r>
          </w:p>
        </w:tc>
        <w:tc>
          <w:tcPr>
            <w:tcW w:w="1805" w:type="dxa"/>
          </w:tcPr>
          <w:p w14:paraId="25870BBD" w14:textId="77777777" w:rsidR="00675CA9" w:rsidRDefault="00472078">
            <w:pPr>
              <w:pStyle w:val="Tabletext"/>
              <w:snapToGrid w:val="0"/>
              <w:spacing w:before="0" w:after="0"/>
              <w:rPr>
                <w:rFonts w:eastAsia="Gulim"/>
                <w:szCs w:val="24"/>
              </w:rPr>
            </w:pPr>
            <w:r>
              <w:rPr>
                <w:rFonts w:eastAsia="Gulim"/>
                <w:szCs w:val="24"/>
              </w:rPr>
              <w:t>(Quantitative)</w:t>
            </w:r>
          </w:p>
        </w:tc>
      </w:tr>
      <w:tr w:rsidR="00675CA9" w14:paraId="6BAB696B" w14:textId="77777777">
        <w:trPr>
          <w:jc w:val="center"/>
        </w:trPr>
        <w:tc>
          <w:tcPr>
            <w:tcW w:w="4955" w:type="dxa"/>
          </w:tcPr>
          <w:p w14:paraId="705CD1DD" w14:textId="77777777" w:rsidR="00675CA9" w:rsidRDefault="00472078">
            <w:pPr>
              <w:pStyle w:val="Tabletext"/>
              <w:snapToGrid w:val="0"/>
              <w:spacing w:before="0" w:after="0"/>
              <w:rPr>
                <w:rFonts w:eastAsia="Gulim"/>
                <w:szCs w:val="24"/>
              </w:rPr>
            </w:pPr>
            <w:r>
              <w:rPr>
                <w:rFonts w:eastAsia="Gulim"/>
                <w:szCs w:val="24"/>
              </w:rPr>
              <w:t>Reliability</w:t>
            </w:r>
          </w:p>
        </w:tc>
        <w:tc>
          <w:tcPr>
            <w:tcW w:w="1805" w:type="dxa"/>
          </w:tcPr>
          <w:p w14:paraId="33EC0F3C" w14:textId="77777777" w:rsidR="00675CA9" w:rsidRDefault="00472078">
            <w:pPr>
              <w:pStyle w:val="Tabletext"/>
              <w:snapToGrid w:val="0"/>
              <w:spacing w:before="0" w:after="0"/>
              <w:rPr>
                <w:rFonts w:eastAsia="Gulim"/>
                <w:szCs w:val="24"/>
              </w:rPr>
            </w:pPr>
            <w:r>
              <w:rPr>
                <w:rFonts w:eastAsia="Gulim"/>
                <w:szCs w:val="24"/>
              </w:rPr>
              <w:t>(Quantitative)</w:t>
            </w:r>
          </w:p>
          <w:p w14:paraId="021145B2" w14:textId="77777777" w:rsidR="00675CA9" w:rsidRDefault="00472078">
            <w:pPr>
              <w:pStyle w:val="Tabletext"/>
              <w:snapToGrid w:val="0"/>
              <w:spacing w:before="0" w:after="0"/>
              <w:rPr>
                <w:rFonts w:eastAsia="Gulim"/>
                <w:i/>
                <w:iCs/>
                <w:szCs w:val="24"/>
              </w:rPr>
            </w:pPr>
            <w:r>
              <w:rPr>
                <w:rFonts w:eastAsia="Gulim"/>
                <w:i/>
                <w:iCs/>
                <w:szCs w:val="24"/>
              </w:rPr>
              <w:t>(Note 2)</w:t>
            </w:r>
          </w:p>
        </w:tc>
      </w:tr>
      <w:tr w:rsidR="00675CA9" w14:paraId="0154C4B8" w14:textId="77777777">
        <w:trPr>
          <w:trHeight w:val="207"/>
          <w:jc w:val="center"/>
        </w:trPr>
        <w:tc>
          <w:tcPr>
            <w:tcW w:w="4955" w:type="dxa"/>
          </w:tcPr>
          <w:p w14:paraId="29F83113" w14:textId="77777777" w:rsidR="00675CA9" w:rsidRDefault="00472078">
            <w:pPr>
              <w:pStyle w:val="Tabletext"/>
              <w:snapToGrid w:val="0"/>
              <w:spacing w:before="0" w:after="0"/>
              <w:rPr>
                <w:rFonts w:eastAsia="Gulim"/>
              </w:rPr>
            </w:pPr>
            <w:r>
              <w:rPr>
                <w:rFonts w:eastAsia="Gulim"/>
                <w:szCs w:val="24"/>
              </w:rPr>
              <w:t>[Joint requirement on data rate, latency</w:t>
            </w:r>
            <w:r>
              <w:rPr>
                <w:rFonts w:eastAsia="Gulim"/>
              </w:rPr>
              <w:t>, reliability and capacity]</w:t>
            </w:r>
          </w:p>
        </w:tc>
        <w:tc>
          <w:tcPr>
            <w:tcW w:w="1805" w:type="dxa"/>
          </w:tcPr>
          <w:p w14:paraId="317F7268" w14:textId="77777777" w:rsidR="00675CA9" w:rsidRDefault="00472078">
            <w:pPr>
              <w:pStyle w:val="Tabletext"/>
              <w:snapToGrid w:val="0"/>
              <w:spacing w:before="0" w:after="0"/>
              <w:rPr>
                <w:rFonts w:eastAsia="Gulim"/>
                <w:i/>
                <w:iCs/>
              </w:rPr>
            </w:pPr>
            <w:r>
              <w:rPr>
                <w:rFonts w:eastAsia="Gulim"/>
                <w:i/>
                <w:iCs/>
              </w:rPr>
              <w:t>To be determined</w:t>
            </w:r>
          </w:p>
        </w:tc>
      </w:tr>
      <w:tr w:rsidR="00675CA9" w14:paraId="60BB56A2" w14:textId="77777777">
        <w:trPr>
          <w:trHeight w:val="203"/>
          <w:jc w:val="center"/>
        </w:trPr>
        <w:tc>
          <w:tcPr>
            <w:tcW w:w="4955" w:type="dxa"/>
          </w:tcPr>
          <w:p w14:paraId="2C0B7E84" w14:textId="77777777" w:rsidR="00675CA9" w:rsidRDefault="00472078">
            <w:pPr>
              <w:pStyle w:val="Tabletext"/>
              <w:snapToGrid w:val="0"/>
              <w:spacing w:before="0" w:after="0"/>
            </w:pPr>
            <w:r>
              <w:rPr>
                <w:rFonts w:eastAsia="Gulim"/>
              </w:rPr>
              <w:t>[</w:t>
            </w:r>
            <w:r>
              <w:rPr>
                <w:rFonts w:eastAsia="Gulim"/>
                <w:szCs w:val="24"/>
              </w:rPr>
              <w:t>Coverage</w:t>
            </w:r>
            <w:r>
              <w:rPr>
                <w:rFonts w:eastAsia="Gulim"/>
              </w:rPr>
              <w:t>]</w:t>
            </w:r>
          </w:p>
        </w:tc>
        <w:tc>
          <w:tcPr>
            <w:tcW w:w="1805" w:type="dxa"/>
          </w:tcPr>
          <w:p w14:paraId="50016638" w14:textId="77777777" w:rsidR="00675CA9" w:rsidRDefault="00472078">
            <w:pPr>
              <w:pStyle w:val="Tabletext"/>
              <w:snapToGrid w:val="0"/>
              <w:spacing w:before="0" w:after="0"/>
              <w:rPr>
                <w:rFonts w:eastAsia="Gulim"/>
                <w:i/>
                <w:iCs/>
                <w:szCs w:val="24"/>
              </w:rPr>
            </w:pPr>
            <w:r>
              <w:rPr>
                <w:rFonts w:eastAsia="Gulim"/>
                <w:i/>
                <w:iCs/>
              </w:rPr>
              <w:t>To be determined</w:t>
            </w:r>
          </w:p>
        </w:tc>
      </w:tr>
      <w:tr w:rsidR="00675CA9" w14:paraId="4F5059C0" w14:textId="77777777">
        <w:trPr>
          <w:trHeight w:val="203"/>
          <w:jc w:val="center"/>
        </w:trPr>
        <w:tc>
          <w:tcPr>
            <w:tcW w:w="4955" w:type="dxa"/>
          </w:tcPr>
          <w:p w14:paraId="0DF776BF" w14:textId="77777777" w:rsidR="00675CA9" w:rsidRDefault="00472078">
            <w:pPr>
              <w:pStyle w:val="Tabletext"/>
              <w:snapToGrid w:val="0"/>
              <w:spacing w:before="0" w:after="0"/>
            </w:pPr>
            <w:r>
              <w:t>[Security]</w:t>
            </w:r>
          </w:p>
        </w:tc>
        <w:tc>
          <w:tcPr>
            <w:tcW w:w="1805" w:type="dxa"/>
          </w:tcPr>
          <w:p w14:paraId="69933475" w14:textId="77777777" w:rsidR="00675CA9" w:rsidRDefault="00472078">
            <w:pPr>
              <w:pStyle w:val="Tabletext"/>
              <w:snapToGrid w:val="0"/>
              <w:spacing w:before="0" w:after="0"/>
              <w:rPr>
                <w:rFonts w:eastAsia="Gulim"/>
                <w:i/>
                <w:iCs/>
                <w:szCs w:val="24"/>
              </w:rPr>
            </w:pPr>
            <w:r>
              <w:rPr>
                <w:rFonts w:eastAsia="Gulim"/>
                <w:i/>
                <w:iCs/>
              </w:rPr>
              <w:t>To be determined</w:t>
            </w:r>
          </w:p>
        </w:tc>
      </w:tr>
      <w:tr w:rsidR="00675CA9" w14:paraId="0A707FD7" w14:textId="77777777">
        <w:trPr>
          <w:trHeight w:val="203"/>
          <w:jc w:val="center"/>
        </w:trPr>
        <w:tc>
          <w:tcPr>
            <w:tcW w:w="4955" w:type="dxa"/>
          </w:tcPr>
          <w:p w14:paraId="588FEE25" w14:textId="77777777" w:rsidR="00675CA9" w:rsidRDefault="00472078">
            <w:pPr>
              <w:pStyle w:val="Tabletext"/>
              <w:snapToGrid w:val="0"/>
              <w:spacing w:before="0" w:after="0"/>
              <w:rPr>
                <w:rFonts w:eastAsia="Gulim"/>
                <w:szCs w:val="24"/>
              </w:rPr>
            </w:pPr>
            <w:r>
              <w:t>[Resilience]</w:t>
            </w:r>
          </w:p>
        </w:tc>
        <w:tc>
          <w:tcPr>
            <w:tcW w:w="1805" w:type="dxa"/>
          </w:tcPr>
          <w:p w14:paraId="24AFE1A7" w14:textId="77777777" w:rsidR="00675CA9" w:rsidRDefault="00472078">
            <w:pPr>
              <w:pStyle w:val="Tabletext"/>
              <w:snapToGrid w:val="0"/>
              <w:spacing w:before="0" w:after="0"/>
              <w:rPr>
                <w:rFonts w:eastAsia="Gulim"/>
                <w:i/>
                <w:iCs/>
                <w:szCs w:val="24"/>
              </w:rPr>
            </w:pPr>
            <w:r>
              <w:rPr>
                <w:rFonts w:eastAsia="Gulim"/>
                <w:i/>
                <w:iCs/>
              </w:rPr>
              <w:t>To be determined</w:t>
            </w:r>
          </w:p>
        </w:tc>
      </w:tr>
      <w:tr w:rsidR="00675CA9" w14:paraId="5587CED8" w14:textId="77777777">
        <w:trPr>
          <w:trHeight w:val="203"/>
          <w:jc w:val="center"/>
        </w:trPr>
        <w:tc>
          <w:tcPr>
            <w:tcW w:w="4955" w:type="dxa"/>
          </w:tcPr>
          <w:p w14:paraId="18E5091D" w14:textId="77777777" w:rsidR="00675CA9" w:rsidRDefault="00472078">
            <w:pPr>
              <w:pStyle w:val="Tabletext"/>
              <w:snapToGrid w:val="0"/>
              <w:spacing w:before="0" w:after="0"/>
              <w:rPr>
                <w:rFonts w:eastAsia="Gulim"/>
                <w:szCs w:val="24"/>
              </w:rPr>
            </w:pPr>
            <w:r>
              <w:t>[Sustainability]</w:t>
            </w:r>
          </w:p>
        </w:tc>
        <w:tc>
          <w:tcPr>
            <w:tcW w:w="1805" w:type="dxa"/>
          </w:tcPr>
          <w:p w14:paraId="259B653E" w14:textId="77777777" w:rsidR="00675CA9" w:rsidRDefault="00472078">
            <w:pPr>
              <w:pStyle w:val="Tabletext"/>
              <w:snapToGrid w:val="0"/>
              <w:spacing w:before="0" w:after="0"/>
              <w:rPr>
                <w:rFonts w:eastAsia="Gulim"/>
                <w:i/>
                <w:iCs/>
                <w:szCs w:val="24"/>
              </w:rPr>
            </w:pPr>
            <w:r>
              <w:rPr>
                <w:rFonts w:eastAsia="Gulim"/>
                <w:i/>
                <w:iCs/>
              </w:rPr>
              <w:t>To be determined</w:t>
            </w:r>
          </w:p>
        </w:tc>
      </w:tr>
      <w:tr w:rsidR="00675CA9" w14:paraId="393CCCC7" w14:textId="77777777">
        <w:trPr>
          <w:trHeight w:val="203"/>
          <w:jc w:val="center"/>
        </w:trPr>
        <w:tc>
          <w:tcPr>
            <w:tcW w:w="4955" w:type="dxa"/>
          </w:tcPr>
          <w:p w14:paraId="56170DB5" w14:textId="77777777" w:rsidR="00675CA9" w:rsidRDefault="00472078">
            <w:pPr>
              <w:pStyle w:val="Tabletext"/>
              <w:snapToGrid w:val="0"/>
              <w:spacing w:before="0" w:after="0"/>
            </w:pPr>
            <w:r>
              <w:t>[Interoperability]</w:t>
            </w:r>
          </w:p>
        </w:tc>
        <w:tc>
          <w:tcPr>
            <w:tcW w:w="1805" w:type="dxa"/>
          </w:tcPr>
          <w:p w14:paraId="4D75BF68" w14:textId="77777777" w:rsidR="00675CA9" w:rsidRDefault="00472078">
            <w:pPr>
              <w:pStyle w:val="Tabletext"/>
              <w:snapToGrid w:val="0"/>
              <w:spacing w:before="0" w:after="0"/>
              <w:rPr>
                <w:rFonts w:eastAsia="Gulim"/>
                <w:i/>
                <w:iCs/>
                <w:szCs w:val="24"/>
              </w:rPr>
            </w:pPr>
            <w:r>
              <w:rPr>
                <w:rFonts w:eastAsia="Gulim"/>
                <w:i/>
                <w:iCs/>
              </w:rPr>
              <w:t>To be determined</w:t>
            </w:r>
          </w:p>
        </w:tc>
      </w:tr>
    </w:tbl>
    <w:p w14:paraId="6C88B985" w14:textId="77777777" w:rsidR="00675CA9" w:rsidRDefault="00472078">
      <w:pPr>
        <w:pStyle w:val="Note"/>
        <w:snapToGrid w:val="0"/>
        <w:rPr>
          <w:rFonts w:eastAsia="Tahoma"/>
          <w:i/>
          <w:iCs/>
          <w:sz w:val="20"/>
        </w:rPr>
      </w:pPr>
      <w:r>
        <w:rPr>
          <w:rFonts w:eastAsia="Tahoma"/>
          <w:i/>
          <w:iCs/>
          <w:sz w:val="20"/>
        </w:rPr>
        <w:t>Note 1: The evaluation technique for quantitative requirements is determined by SWG Eval (e.g., analysis, simulation, etc.).</w:t>
      </w:r>
    </w:p>
    <w:p w14:paraId="54420B3E" w14:textId="77777777" w:rsidR="00675CA9" w:rsidRDefault="00472078">
      <w:pPr>
        <w:pStyle w:val="Note"/>
        <w:snapToGrid w:val="0"/>
        <w:rPr>
          <w:rFonts w:eastAsia="Tahoma"/>
          <w:i/>
          <w:iCs/>
          <w:sz w:val="20"/>
        </w:rPr>
      </w:pPr>
      <w:r>
        <w:rPr>
          <w:rFonts w:eastAsia="Tahoma"/>
          <w:i/>
          <w:iCs/>
          <w:sz w:val="20"/>
        </w:rPr>
        <w:t>Note 2: The reliability requirement may be replaced by the “Joint Requirement” (if agreed).</w:t>
      </w:r>
    </w:p>
    <w:p w14:paraId="04B620F8" w14:textId="77777777" w:rsidR="00675CA9" w:rsidRDefault="00472078">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In ITU-R WP5D#49 (June ’25), it was further agreed ([10]) that </w:t>
      </w:r>
    </w:p>
    <w:p w14:paraId="5A1B7C98" w14:textId="77777777" w:rsidR="00675CA9" w:rsidRDefault="00472078">
      <w:pPr>
        <w:pStyle w:val="afa"/>
        <w:numPr>
          <w:ilvl w:val="0"/>
          <w:numId w:val="5"/>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AI and Resilience</w:t>
      </w:r>
      <w:r>
        <w:rPr>
          <w:rFonts w:ascii="Times New Roman" w:hAnsi="Times New Roman" w:cs="Times New Roman" w:hint="eastAsia"/>
          <w:sz w:val="20"/>
          <w:szCs w:val="20"/>
        </w:rPr>
        <w:t xml:space="preserve"> </w:t>
      </w:r>
      <w:r>
        <w:rPr>
          <w:rFonts w:ascii="Times New Roman" w:eastAsia="MS Mincho" w:hAnsi="Times New Roman" w:cs="Times New Roman"/>
          <w:i/>
          <w:iCs/>
          <w:sz w:val="20"/>
          <w:szCs w:val="20"/>
        </w:rPr>
        <w:t>(Note 3)</w:t>
      </w:r>
      <w:r>
        <w:rPr>
          <w:rFonts w:ascii="Times New Roman" w:hAnsi="Times New Roman" w:cs="Times New Roman"/>
          <w:sz w:val="20"/>
          <w:szCs w:val="20"/>
        </w:rPr>
        <w:t xml:space="preserve"> will be Qualitative; </w:t>
      </w:r>
    </w:p>
    <w:p w14:paraId="6B87BD64" w14:textId="77777777" w:rsidR="00675CA9" w:rsidRDefault="00472078">
      <w:pPr>
        <w:pStyle w:val="afa"/>
        <w:numPr>
          <w:ilvl w:val="0"/>
          <w:numId w:val="5"/>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Sustainability will be represented by Energy Efficiency;</w:t>
      </w:r>
    </w:p>
    <w:p w14:paraId="51798DED" w14:textId="77777777" w:rsidR="00675CA9" w:rsidRDefault="00472078">
      <w:pPr>
        <w:pStyle w:val="afa"/>
        <w:numPr>
          <w:ilvl w:val="0"/>
          <w:numId w:val="5"/>
        </w:num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Rest of the TPR are still TBD (in []).</w:t>
      </w:r>
    </w:p>
    <w:p w14:paraId="3F46ACD1" w14:textId="77777777" w:rsidR="00675CA9" w:rsidRDefault="00472078">
      <w:pPr>
        <w:snapToGrid w:val="0"/>
        <w:spacing w:beforeLines="50" w:before="120" w:after="120"/>
        <w:rPr>
          <w:rFonts w:ascii="Times New Roman" w:hAnsi="Times New Roman" w:cs="Times New Roman"/>
          <w:sz w:val="20"/>
          <w:szCs w:val="20"/>
        </w:rPr>
      </w:pPr>
      <w:r>
        <w:rPr>
          <w:rFonts w:ascii="Times New Roman" w:eastAsia="MS Mincho" w:hAnsi="Times New Roman" w:cs="Times New Roman"/>
          <w:i/>
          <w:iCs/>
          <w:sz w:val="20"/>
          <w:szCs w:val="20"/>
        </w:rPr>
        <w:t>Note 3: While the current agreement is to define Resilience as a qualitative TPR, an alternative approach</w:t>
      </w:r>
      <w:r>
        <w:rPr>
          <w:rFonts w:ascii="Times New Roman" w:eastAsia="MS Mincho" w:hAnsi="Times New Roman" w:cs="Times New Roman" w:hint="eastAsia"/>
          <w:i/>
          <w:iCs/>
          <w:sz w:val="20"/>
          <w:szCs w:val="20"/>
        </w:rPr>
        <w:t xml:space="preserve"> is</w:t>
      </w:r>
      <w:r>
        <w:rPr>
          <w:rFonts w:ascii="Times New Roman" w:eastAsia="MS Mincho" w:hAnsi="Times New Roman" w:cs="Times New Roman"/>
          <w:i/>
          <w:iCs/>
          <w:sz w:val="20"/>
          <w:szCs w:val="20"/>
        </w:rPr>
        <w:t xml:space="preserve"> </w:t>
      </w:r>
      <w:r>
        <w:rPr>
          <w:rFonts w:ascii="Times New Roman" w:eastAsia="MS Mincho" w:hAnsi="Times New Roman" w:cs="Times New Roman" w:hint="eastAsia"/>
          <w:i/>
          <w:iCs/>
          <w:sz w:val="20"/>
          <w:szCs w:val="20"/>
        </w:rPr>
        <w:t xml:space="preserve">also </w:t>
      </w:r>
      <w:r>
        <w:rPr>
          <w:rFonts w:ascii="Times New Roman" w:hAnsi="Times New Roman" w:cs="Times New Roman" w:hint="eastAsia"/>
          <w:i/>
          <w:iCs/>
          <w:sz w:val="20"/>
          <w:szCs w:val="20"/>
        </w:rPr>
        <w:t xml:space="preserve">being </w:t>
      </w:r>
      <w:r>
        <w:rPr>
          <w:rFonts w:ascii="Times New Roman" w:eastAsia="MS Mincho" w:hAnsi="Times New Roman" w:cs="Times New Roman"/>
          <w:i/>
          <w:iCs/>
          <w:sz w:val="20"/>
          <w:szCs w:val="20"/>
        </w:rPr>
        <w:t xml:space="preserve">considered to define "Resilience and </w:t>
      </w:r>
      <w:r>
        <w:rPr>
          <w:rFonts w:ascii="Times New Roman" w:eastAsia="MS Mincho" w:hAnsi="Times New Roman" w:cs="Times New Roman" w:hint="eastAsia"/>
          <w:i/>
          <w:iCs/>
          <w:sz w:val="20"/>
          <w:szCs w:val="20"/>
        </w:rPr>
        <w:t>E</w:t>
      </w:r>
      <w:r>
        <w:rPr>
          <w:rFonts w:ascii="Times New Roman" w:eastAsia="MS Mincho" w:hAnsi="Times New Roman" w:cs="Times New Roman"/>
          <w:i/>
          <w:iCs/>
          <w:sz w:val="20"/>
          <w:szCs w:val="20"/>
        </w:rPr>
        <w:t xml:space="preserve">xtended </w:t>
      </w:r>
      <w:r>
        <w:rPr>
          <w:rFonts w:ascii="Times New Roman" w:eastAsia="MS Mincho" w:hAnsi="Times New Roman" w:cs="Times New Roman" w:hint="eastAsia"/>
          <w:i/>
          <w:iCs/>
          <w:sz w:val="20"/>
          <w:szCs w:val="20"/>
        </w:rPr>
        <w:t>C</w:t>
      </w:r>
      <w:r>
        <w:rPr>
          <w:rFonts w:ascii="Times New Roman" w:eastAsia="MS Mincho" w:hAnsi="Times New Roman" w:cs="Times New Roman"/>
          <w:i/>
          <w:iCs/>
          <w:sz w:val="20"/>
          <w:szCs w:val="20"/>
        </w:rPr>
        <w:t xml:space="preserve">onnectivity" as </w:t>
      </w:r>
      <w:r>
        <w:rPr>
          <w:rFonts w:ascii="Times New Roman" w:hAnsi="Times New Roman" w:cs="Times New Roman" w:hint="eastAsia"/>
          <w:i/>
          <w:iCs/>
          <w:sz w:val="20"/>
          <w:szCs w:val="20"/>
        </w:rPr>
        <w:t>a</w:t>
      </w:r>
      <w:r>
        <w:rPr>
          <w:rFonts w:ascii="Times New Roman" w:eastAsia="MS Mincho" w:hAnsi="Times New Roman" w:cs="Times New Roman"/>
          <w:i/>
          <w:iCs/>
          <w:sz w:val="20"/>
          <w:szCs w:val="20"/>
        </w:rPr>
        <w:t xml:space="preserve"> qualitative TPR.</w:t>
      </w:r>
    </w:p>
    <w:p w14:paraId="1560A119" w14:textId="77777777" w:rsidR="00675CA9" w:rsidRDefault="00472078">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Discussion on quantitative target values is planned to start in WP5D#50.</w:t>
      </w:r>
    </w:p>
    <w:p w14:paraId="37110763" w14:textId="77777777" w:rsidR="00675CA9" w:rsidRDefault="00472078">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Based on the </w:t>
      </w:r>
      <w:r>
        <w:rPr>
          <w:rFonts w:ascii="Times New Roman" w:hAnsi="Times New Roman" w:cs="Times New Roman" w:hint="eastAsia"/>
          <w:sz w:val="20"/>
          <w:szCs w:val="20"/>
        </w:rPr>
        <w:t xml:space="preserve">views from the </w:t>
      </w:r>
      <w:r>
        <w:rPr>
          <w:rFonts w:ascii="Times New Roman" w:hAnsi="Times New Roman" w:cs="Times New Roman"/>
          <w:sz w:val="20"/>
          <w:szCs w:val="20"/>
        </w:rPr>
        <w:t xml:space="preserve">co-sourcing </w:t>
      </w:r>
      <w:r>
        <w:rPr>
          <w:rFonts w:ascii="Times New Roman" w:hAnsi="Times New Roman" w:cs="Times New Roman" w:hint="eastAsia"/>
          <w:sz w:val="20"/>
          <w:szCs w:val="20"/>
        </w:rPr>
        <w:t>members (comprising of network infrastructure vendors, chipset vendors, UE vendors, network operators, research institutes and vertical industries around the globe),</w:t>
      </w:r>
      <w:r>
        <w:rPr>
          <w:rFonts w:ascii="Times New Roman" w:hAnsi="Times New Roman" w:cs="Times New Roman"/>
          <w:sz w:val="20"/>
          <w:szCs w:val="20"/>
        </w:rPr>
        <w:t xml:space="preserve"> and past RAN discussion,</w:t>
      </w:r>
      <w:r>
        <w:rPr>
          <w:rFonts w:ascii="Times New Roman" w:hAnsi="Times New Roman" w:cs="Times New Roman" w:hint="eastAsia"/>
          <w:sz w:val="20"/>
          <w:szCs w:val="20"/>
        </w:rPr>
        <w:t xml:space="preserve"> </w:t>
      </w:r>
      <w:r>
        <w:rPr>
          <w:rFonts w:ascii="Times New Roman" w:hAnsi="Times New Roman" w:cs="Times New Roman"/>
          <w:sz w:val="20"/>
          <w:szCs w:val="20"/>
        </w:rPr>
        <w:t>the table below captures our proposal on target values for some TPR that are still TBD in RAN, largely</w:t>
      </w:r>
      <w:r>
        <w:rPr>
          <w:rFonts w:ascii="Times New Roman" w:hAnsi="Times New Roman" w:cs="Times New Roman" w:hint="eastAsia"/>
          <w:sz w:val="20"/>
          <w:szCs w:val="20"/>
        </w:rPr>
        <w:t xml:space="preserve"> </w:t>
      </w:r>
      <w:r>
        <w:rPr>
          <w:rFonts w:ascii="Times New Roman" w:hAnsi="Times New Roman" w:cs="Times New Roman"/>
          <w:sz w:val="20"/>
          <w:szCs w:val="20"/>
        </w:rPr>
        <w:t>re-</w:t>
      </w:r>
      <w:r>
        <w:rPr>
          <w:rFonts w:ascii="Times New Roman" w:hAnsi="Times New Roman" w:cs="Times New Roman" w:hint="eastAsia"/>
          <w:sz w:val="20"/>
          <w:szCs w:val="20"/>
        </w:rPr>
        <w:t>us</w:t>
      </w:r>
      <w:r>
        <w:rPr>
          <w:rFonts w:ascii="Times New Roman" w:hAnsi="Times New Roman" w:cs="Times New Roman"/>
          <w:sz w:val="20"/>
          <w:szCs w:val="20"/>
        </w:rPr>
        <w:t>ing</w:t>
      </w:r>
      <w:r>
        <w:rPr>
          <w:rFonts w:ascii="Times New Roman" w:hAnsi="Times New Roman" w:cs="Times New Roman" w:hint="eastAsia"/>
          <w:sz w:val="20"/>
          <w:szCs w:val="20"/>
        </w:rPr>
        <w:t xml:space="preserve"> the moderator proposal in RP-250819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_Ref195879845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[6]</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as baseline</w:t>
      </w:r>
      <w:r>
        <w:rPr>
          <w:rFonts w:ascii="Times New Roman" w:hAnsi="Times New Roman" w:cs="Times New Roman"/>
          <w:sz w:val="20"/>
          <w:szCs w:val="20"/>
        </w:rPr>
        <w:t>, which is considered a reasonable compromise among different RAN inputs and proposals</w:t>
      </w:r>
      <w:r>
        <w:rPr>
          <w:rFonts w:ascii="Times New Roman" w:hAnsi="Times New Roman" w:cs="Times New Roman" w:hint="eastAsia"/>
          <w:sz w:val="20"/>
          <w:szCs w:val="20"/>
        </w:rPr>
        <w:t>.</w:t>
      </w:r>
    </w:p>
    <w:p w14:paraId="2355297F" w14:textId="77777777" w:rsidR="00675CA9" w:rsidRDefault="00472078">
      <w:pPr>
        <w:snapToGrid w:val="0"/>
        <w:spacing w:beforeLines="50" w:before="120" w:after="120"/>
        <w:rPr>
          <w:rFonts w:ascii="Times New Roman" w:hAnsi="Times New Roman" w:cs="Times New Roman"/>
          <w:b/>
          <w:sz w:val="20"/>
          <w:szCs w:val="20"/>
        </w:rPr>
      </w:pPr>
      <w:bookmarkStart w:id="2" w:name="_Ref32606461"/>
      <w:r>
        <w:rPr>
          <w:rFonts w:ascii="Times New Roman" w:hAnsi="Times New Roman" w:cs="Times New Roman"/>
          <w:b/>
          <w:sz w:val="20"/>
          <w:szCs w:val="20"/>
        </w:rPr>
        <w:t>Proposal 1: Define the target values for TPRs</w:t>
      </w:r>
      <w:r>
        <w:rPr>
          <w:rFonts w:ascii="Times New Roman" w:hAnsi="Times New Roman" w:cs="Times New Roman" w:hint="eastAsia"/>
          <w:b/>
          <w:sz w:val="20"/>
          <w:szCs w:val="20"/>
        </w:rPr>
        <w:t xml:space="preserve"> and RAN KPIs</w:t>
      </w:r>
      <w:r>
        <w:rPr>
          <w:rFonts w:ascii="Times New Roman" w:hAnsi="Times New Roman" w:cs="Times New Roman"/>
          <w:b/>
          <w:sz w:val="20"/>
          <w:szCs w:val="20"/>
        </w:rPr>
        <w:t xml:space="preserve"> as in the table below.</w:t>
      </w:r>
      <w:bookmarkEnd w:id="2"/>
    </w:p>
    <w:p w14:paraId="1525C063" w14:textId="77777777" w:rsidR="00675CA9" w:rsidRDefault="00472078">
      <w:pPr>
        <w:snapToGrid w:val="0"/>
        <w:spacing w:line="276" w:lineRule="auto"/>
        <w:jc w:val="center"/>
        <w:rPr>
          <w:rFonts w:ascii="Times New Roman" w:eastAsia="宋体" w:hAnsi="Times New Roman" w:cs="Times New Roman"/>
        </w:rPr>
      </w:pPr>
      <w:r>
        <w:rPr>
          <w:rFonts w:ascii="Times New Roman" w:eastAsia="宋体" w:hAnsi="Times New Roman" w:cs="Times New Roman"/>
        </w:rPr>
        <w:t>Target values for TPRs toward IMT-2030</w:t>
      </w:r>
    </w:p>
    <w:tbl>
      <w:tblPr>
        <w:tblW w:w="4049" w:type="pct"/>
        <w:jc w:val="center"/>
        <w:tblCellMar>
          <w:left w:w="0" w:type="dxa"/>
          <w:right w:w="0" w:type="dxa"/>
        </w:tblCellMar>
        <w:tblLook w:val="04A0" w:firstRow="1" w:lastRow="0" w:firstColumn="1" w:lastColumn="0" w:noHBand="0" w:noVBand="1"/>
      </w:tblPr>
      <w:tblGrid>
        <w:gridCol w:w="2210"/>
        <w:gridCol w:w="1916"/>
        <w:gridCol w:w="1834"/>
        <w:gridCol w:w="1833"/>
      </w:tblGrid>
      <w:tr w:rsidR="00675CA9" w14:paraId="0439C2B0" w14:textId="77777777">
        <w:trPr>
          <w:trHeight w:val="148"/>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45241DF" w14:textId="77777777" w:rsidR="00675CA9" w:rsidRDefault="00472078">
            <w:pPr>
              <w:snapToGrid w:val="0"/>
              <w:rPr>
                <w:rFonts w:ascii="Times New Roman" w:eastAsia="宋体" w:hAnsi="Times New Roman" w:cs="Times New Roman"/>
                <w:b/>
                <w:bCs/>
                <w:sz w:val="20"/>
              </w:rPr>
            </w:pPr>
            <w:r>
              <w:rPr>
                <w:rFonts w:ascii="Times New Roman" w:eastAsia="宋体" w:hAnsi="Times New Roman" w:cs="Times New Roman"/>
                <w:b/>
                <w:bCs/>
                <w:sz w:val="20"/>
              </w:rPr>
              <w:t>ITU candidate TPR</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2B5F2C9" w14:textId="77777777" w:rsidR="00675CA9" w:rsidRDefault="00472078">
            <w:pPr>
              <w:snapToGrid w:val="0"/>
              <w:rPr>
                <w:rFonts w:ascii="Times New Roman" w:eastAsia="宋体" w:hAnsi="Times New Roman" w:cs="Times New Roman"/>
                <w:b/>
                <w:sz w:val="20"/>
              </w:rPr>
            </w:pPr>
            <w:r>
              <w:rPr>
                <w:rFonts w:ascii="Times New Roman" w:eastAsia="宋体" w:hAnsi="Times New Roman" w:cs="Times New Roman"/>
                <w:b/>
                <w:sz w:val="20"/>
              </w:rPr>
              <w:t>Target value of IMT-2030</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92FDCA3" w14:textId="77777777" w:rsidR="00675CA9" w:rsidRDefault="00472078">
            <w:pPr>
              <w:snapToGrid w:val="0"/>
              <w:rPr>
                <w:rFonts w:ascii="Times New Roman" w:eastAsia="宋体" w:hAnsi="Times New Roman" w:cs="Times New Roman"/>
                <w:b/>
                <w:sz w:val="20"/>
              </w:rPr>
            </w:pPr>
            <w:r>
              <w:rPr>
                <w:rFonts w:ascii="Times New Roman" w:eastAsia="宋体" w:hAnsi="Times New Roman" w:cs="Times New Roman"/>
                <w:b/>
                <w:sz w:val="20"/>
              </w:rPr>
              <w:t>Notes</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1C304E55" w14:textId="77777777" w:rsidR="00675CA9" w:rsidRDefault="00472078">
            <w:pPr>
              <w:snapToGrid w:val="0"/>
              <w:rPr>
                <w:rFonts w:ascii="Times New Roman" w:eastAsia="宋体" w:hAnsi="Times New Roman" w:cs="Times New Roman"/>
                <w:sz w:val="20"/>
              </w:rPr>
            </w:pPr>
            <w:r>
              <w:rPr>
                <w:rFonts w:ascii="Times New Roman" w:eastAsia="宋体" w:hAnsi="Times New Roman" w:cs="Times New Roman" w:hint="eastAsia"/>
                <w:b/>
                <w:bCs/>
                <w:sz w:val="20"/>
              </w:rPr>
              <w:t>V</w:t>
            </w:r>
            <w:r>
              <w:rPr>
                <w:rFonts w:ascii="Times New Roman" w:eastAsia="宋体" w:hAnsi="Times New Roman" w:cs="Times New Roman"/>
                <w:b/>
                <w:bCs/>
                <w:sz w:val="20"/>
              </w:rPr>
              <w:t>alue of IMT-2020</w:t>
            </w:r>
          </w:p>
        </w:tc>
      </w:tr>
      <w:tr w:rsidR="00675CA9" w14:paraId="7735F974" w14:textId="77777777">
        <w:trPr>
          <w:trHeight w:val="595"/>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36EE8911"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Peak data rate</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780D34A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DL: 100, UL: 50 Gbit/s.</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DAAD972"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5x</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IMT-2020</w:t>
            </w:r>
          </w:p>
          <w:p w14:paraId="0E64A2F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hint="eastAsia"/>
                <w:sz w:val="18"/>
                <w:szCs w:val="18"/>
              </w:rPr>
              <w:t>(</w:t>
            </w:r>
            <w:r>
              <w:rPr>
                <w:rFonts w:ascii="Times New Roman" w:eastAsia="宋体" w:hAnsi="Times New Roman" w:cs="Times New Roman"/>
                <w:sz w:val="18"/>
                <w:szCs w:val="18"/>
              </w:rPr>
              <w:t>Related to the increase of bandwidth, number of antennas, modulation order, etc</w:t>
            </w:r>
            <w:r>
              <w:rPr>
                <w:rFonts w:ascii="Times New Roman" w:eastAsia="宋体" w:hAnsi="Times New Roman" w:cs="Times New Roman" w:hint="eastAsia"/>
                <w:sz w:val="18"/>
                <w:szCs w:val="18"/>
              </w:rPr>
              <w:t>)</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45CD7CB5"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 Downlink peak data rate is 20 Gbit/s.</w:t>
            </w:r>
            <w:r>
              <w:rPr>
                <w:rFonts w:ascii="Times New Roman" w:eastAsia="宋体" w:hAnsi="Times New Roman" w:cs="Times New Roman"/>
                <w:sz w:val="18"/>
                <w:szCs w:val="18"/>
              </w:rPr>
              <w:br/>
              <w:t>– Uplink peak data rate is 10 Gbit/s.</w:t>
            </w:r>
          </w:p>
        </w:tc>
      </w:tr>
      <w:tr w:rsidR="00675CA9" w14:paraId="5CC7CB45" w14:textId="77777777">
        <w:trPr>
          <w:trHeight w:val="595"/>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CAFBED7"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Peak spectral efficiency</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D3926EE"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DL: 75, UL: 37.5 bit/s/Hz</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49756C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2.5x</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IMT-2020</w:t>
            </w:r>
          </w:p>
          <w:p w14:paraId="3CE99DE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(Related to the increase of number of antennas</w:t>
            </w:r>
            <w:r>
              <w:rPr>
                <w:rFonts w:ascii="Times New Roman" w:eastAsia="宋体" w:hAnsi="Times New Roman" w:cs="Times New Roman" w:hint="eastAsia"/>
                <w:sz w:val="18"/>
                <w:szCs w:val="18"/>
              </w:rPr>
              <w:t xml:space="preserve"> </w:t>
            </w:r>
            <w:r>
              <w:rPr>
                <w:rFonts w:ascii="Times New Roman" w:eastAsia="宋体" w:hAnsi="Times New Roman" w:cs="Times New Roman" w:hint="eastAsia"/>
                <w:sz w:val="18"/>
                <w:szCs w:val="18"/>
              </w:rPr>
              <w:lastRenderedPageBreak/>
              <w:t>and</w:t>
            </w:r>
            <w:r>
              <w:rPr>
                <w:rFonts w:ascii="Times New Roman" w:eastAsia="宋体" w:hAnsi="Times New Roman" w:cs="Times New Roman"/>
                <w:sz w:val="18"/>
                <w:szCs w:val="18"/>
              </w:rPr>
              <w:t xml:space="preserve"> modulation order)</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695AD5C5"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lastRenderedPageBreak/>
              <w:t>– Downlink peak spectral efficiency is 30 bit/s/Hz.</w:t>
            </w:r>
            <w:r>
              <w:rPr>
                <w:rFonts w:ascii="Times New Roman" w:eastAsia="宋体" w:hAnsi="Times New Roman" w:cs="Times New Roman"/>
                <w:sz w:val="18"/>
                <w:szCs w:val="18"/>
              </w:rPr>
              <w:br/>
              <w:t xml:space="preserve">– Uplink peak spectral </w:t>
            </w:r>
            <w:r>
              <w:rPr>
                <w:rFonts w:ascii="Times New Roman" w:eastAsia="宋体" w:hAnsi="Times New Roman" w:cs="Times New Roman"/>
                <w:sz w:val="18"/>
                <w:szCs w:val="18"/>
              </w:rPr>
              <w:lastRenderedPageBreak/>
              <w:t>efficiency is 15 bit/s/Hz.</w:t>
            </w:r>
          </w:p>
        </w:tc>
      </w:tr>
      <w:tr w:rsidR="00675CA9" w14:paraId="00BE2E81" w14:textId="77777777">
        <w:trPr>
          <w:trHeight w:val="595"/>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77CDF4B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hint="eastAsia"/>
                <w:sz w:val="18"/>
                <w:szCs w:val="18"/>
              </w:rPr>
              <w:lastRenderedPageBreak/>
              <w:t>5</w:t>
            </w:r>
            <w:r>
              <w:rPr>
                <w:rFonts w:ascii="Times New Roman" w:eastAsia="宋体" w:hAnsi="Times New Roman" w:cs="Times New Roman" w:hint="eastAsia"/>
                <w:sz w:val="18"/>
                <w:szCs w:val="18"/>
                <w:vertAlign w:val="superscript"/>
              </w:rPr>
              <w:t>th</w:t>
            </w:r>
            <w:r>
              <w:rPr>
                <w:rFonts w:ascii="Times New Roman" w:eastAsia="宋体" w:hAnsi="Times New Roman" w:cs="Times New Roman" w:hint="eastAsia"/>
                <w:sz w:val="18"/>
                <w:szCs w:val="18"/>
              </w:rPr>
              <w:t xml:space="preserve"> percentile u</w:t>
            </w:r>
            <w:r>
              <w:rPr>
                <w:rFonts w:ascii="Times New Roman" w:eastAsia="宋体" w:hAnsi="Times New Roman" w:cs="Times New Roman"/>
                <w:sz w:val="18"/>
                <w:szCs w:val="18"/>
              </w:rPr>
              <w:t>ser data rate</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33160A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DL: 500</w:t>
            </w:r>
            <w:r>
              <w:rPr>
                <w:rFonts w:ascii="Times New Roman" w:eastAsia="宋体" w:hAnsi="Times New Roman" w:cs="Times New Roman" w:hint="eastAsia"/>
                <w:sz w:val="18"/>
                <w:szCs w:val="18"/>
              </w:rPr>
              <w:t xml:space="preserve"> Mbit/s</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856AB30"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5x IMT-2020</w:t>
            </w:r>
            <w:r>
              <w:rPr>
                <w:rFonts w:ascii="Times New Roman" w:eastAsia="宋体" w:hAnsi="Times New Roman" w:cs="Times New Roman" w:hint="eastAsia"/>
                <w:sz w:val="18"/>
                <w:szCs w:val="18"/>
              </w:rPr>
              <w:t xml:space="preserve"> (for DL)</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7FF1F7D9"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 Downlink user experienced data rate is 100 Mbit/s.</w:t>
            </w:r>
            <w:r>
              <w:rPr>
                <w:rFonts w:ascii="Times New Roman" w:eastAsia="宋体" w:hAnsi="Times New Roman" w:cs="Times New Roman"/>
                <w:sz w:val="18"/>
                <w:szCs w:val="18"/>
              </w:rPr>
              <w:br/>
              <w:t>– Uplink user experienced data rate is 50 Mbit/s.</w:t>
            </w:r>
          </w:p>
        </w:tc>
      </w:tr>
      <w:tr w:rsidR="00675CA9" w14:paraId="6D00086E" w14:textId="77777777">
        <w:trPr>
          <w:trHeight w:val="893"/>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1B0AC948"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5th percentile user spectral efficiency</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7D88E67"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Indoor Hotspot 0.9(DL), 0.63 (UL)</w:t>
            </w:r>
          </w:p>
          <w:p w14:paraId="19DBA9B9"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Dense Urban 0.675(DL), 0.45(UL)</w:t>
            </w:r>
          </w:p>
          <w:p w14:paraId="1B0AE50E"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Rural 0.36(DL), 0.135(UL) bit/s/Hz</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0C0206D2"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3x IMT</w:t>
            </w:r>
            <w:r>
              <w:rPr>
                <w:rFonts w:ascii="Times New Roman" w:eastAsia="宋体" w:hAnsi="Times New Roman" w:cs="Times New Roman" w:hint="eastAsia"/>
                <w:sz w:val="18"/>
                <w:szCs w:val="18"/>
              </w:rPr>
              <w:t>-</w:t>
            </w:r>
            <w:r>
              <w:rPr>
                <w:rFonts w:ascii="Times New Roman" w:eastAsia="宋体" w:hAnsi="Times New Roman" w:cs="Times New Roman"/>
                <w:sz w:val="18"/>
                <w:szCs w:val="18"/>
              </w:rPr>
              <w:t>2020</w:t>
            </w:r>
            <w:r>
              <w:rPr>
                <w:rFonts w:ascii="Times New Roman" w:eastAsia="宋体" w:hAnsi="Times New Roman" w:cs="Times New Roman" w:hint="eastAsia"/>
                <w:sz w:val="18"/>
                <w:szCs w:val="18"/>
              </w:rPr>
              <w:t xml:space="preserve"> (all scenarios, both DL and UL)</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44CC4F0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(bit/s/Hz)</w:t>
            </w:r>
            <w:r>
              <w:rPr>
                <w:rFonts w:ascii="Times New Roman" w:eastAsia="宋体" w:hAnsi="Times New Roman" w:cs="Times New Roman"/>
                <w:sz w:val="18"/>
                <w:szCs w:val="18"/>
              </w:rPr>
              <w:br/>
              <w:t>Indoor Hotspot – eMBB 0.3(DL) 0.21(UL)</w:t>
            </w:r>
            <w:r>
              <w:rPr>
                <w:rFonts w:ascii="Times New Roman" w:eastAsia="宋体" w:hAnsi="Times New Roman" w:cs="Times New Roman"/>
                <w:sz w:val="18"/>
                <w:szCs w:val="18"/>
              </w:rPr>
              <w:br/>
              <w:t>Dense Urban – eMBB (NOTE 1) 0.225 0.15</w:t>
            </w:r>
            <w:r>
              <w:rPr>
                <w:rFonts w:ascii="Times New Roman" w:eastAsia="宋体" w:hAnsi="Times New Roman" w:cs="Times New Roman"/>
                <w:sz w:val="18"/>
                <w:szCs w:val="18"/>
              </w:rPr>
              <w:br/>
              <w:t>Rural – eMBB 0.12 0.045</w:t>
            </w:r>
          </w:p>
        </w:tc>
      </w:tr>
      <w:tr w:rsidR="00675CA9" w14:paraId="23FDF85B" w14:textId="77777777">
        <w:trPr>
          <w:trHeight w:val="893"/>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3550607E"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Average spectral efficiency</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6792976A"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Indoor Hotspot 27(DL)  20.25(UL)</w:t>
            </w:r>
          </w:p>
          <w:p w14:paraId="7DC7AEF2"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Dense Urban 23.4(DL)  16.2(UL)</w:t>
            </w:r>
          </w:p>
          <w:p w14:paraId="708F7A4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Rural 9.9(DL)  4.8(UL) bit/s/Hz/TRxP</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4B52626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hint="eastAsia"/>
                <w:sz w:val="18"/>
                <w:szCs w:val="18"/>
              </w:rPr>
              <w:t>3</w:t>
            </w:r>
            <w:r>
              <w:rPr>
                <w:rFonts w:ascii="Times New Roman" w:eastAsia="宋体" w:hAnsi="Times New Roman" w:cs="Times New Roman"/>
                <w:sz w:val="18"/>
                <w:szCs w:val="18"/>
              </w:rPr>
              <w:t>x</w:t>
            </w:r>
            <w:r>
              <w:rPr>
                <w:rFonts w:ascii="Times New Roman" w:eastAsia="宋体" w:hAnsi="Times New Roman" w:cs="Times New Roman" w:hint="eastAsia"/>
                <w:sz w:val="18"/>
                <w:szCs w:val="18"/>
              </w:rPr>
              <w:t xml:space="preserve"> </w:t>
            </w:r>
            <w:r>
              <w:rPr>
                <w:rFonts w:ascii="Times New Roman" w:eastAsia="宋体" w:hAnsi="Times New Roman" w:cs="Times New Roman"/>
                <w:sz w:val="18"/>
                <w:szCs w:val="18"/>
              </w:rPr>
              <w:t>IMT-2020</w:t>
            </w:r>
            <w:r>
              <w:rPr>
                <w:rFonts w:ascii="Times New Roman" w:eastAsia="宋体" w:hAnsi="Times New Roman" w:cs="Times New Roman" w:hint="eastAsia"/>
                <w:sz w:val="18"/>
                <w:szCs w:val="18"/>
              </w:rPr>
              <w:t xml:space="preserve"> (all scenarios, both DL and UL)</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32954828"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(bit/s/Hz/TRxP)</w:t>
            </w:r>
            <w:r>
              <w:rPr>
                <w:rFonts w:ascii="Times New Roman" w:eastAsia="宋体" w:hAnsi="Times New Roman" w:cs="Times New Roman"/>
                <w:sz w:val="18"/>
                <w:szCs w:val="18"/>
              </w:rPr>
              <w:br/>
              <w:t>Indoor Hotspot – eMBB 9 (DL) 6.75(UL)</w:t>
            </w:r>
            <w:r>
              <w:rPr>
                <w:rFonts w:ascii="Times New Roman" w:eastAsia="宋体" w:hAnsi="Times New Roman" w:cs="Times New Roman"/>
                <w:sz w:val="18"/>
                <w:szCs w:val="18"/>
              </w:rPr>
              <w:br/>
              <w:t>Dense Urban – eMBB (Note 1) 7.8 5.4</w:t>
            </w:r>
            <w:r>
              <w:rPr>
                <w:rFonts w:ascii="Times New Roman" w:eastAsia="宋体" w:hAnsi="Times New Roman" w:cs="Times New Roman"/>
                <w:sz w:val="18"/>
                <w:szCs w:val="18"/>
              </w:rPr>
              <w:br/>
              <w:t>Rural – eMBB 3.3 1.6</w:t>
            </w:r>
          </w:p>
        </w:tc>
      </w:tr>
      <w:tr w:rsidR="00675CA9" w14:paraId="549C19F7" w14:textId="77777777">
        <w:trPr>
          <w:trHeight w:val="446"/>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612D7C05"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Area traffic capacity</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28FBB82A"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Downlink 50 Mbit/s/m2 in the Indoor Hotspot-IC</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BD4EFC2"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5x IMT-2020</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12FED0C7"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Downlink 10 Mbit/s/m2</w:t>
            </w:r>
            <w:r>
              <w:rPr>
                <w:rFonts w:ascii="Times New Roman" w:eastAsia="宋体" w:hAnsi="Times New Roman" w:cs="Times New Roman"/>
                <w:sz w:val="18"/>
                <w:szCs w:val="18"/>
              </w:rPr>
              <w:br/>
              <w:t>in the Indoor Hotspot – eMBB</w:t>
            </w:r>
          </w:p>
        </w:tc>
      </w:tr>
      <w:tr w:rsidR="00675CA9" w14:paraId="791D6B24" w14:textId="77777777">
        <w:trPr>
          <w:trHeight w:val="148"/>
          <w:jc w:val="center"/>
        </w:trPr>
        <w:tc>
          <w:tcPr>
            <w:tcW w:w="1418" w:type="pct"/>
            <w:tcBorders>
              <w:top w:val="single" w:sz="6" w:space="0" w:color="auto"/>
              <w:left w:val="single" w:sz="6" w:space="0" w:color="auto"/>
              <w:bottom w:val="single" w:sz="6" w:space="0" w:color="auto"/>
              <w:right w:val="single" w:sz="6" w:space="0" w:color="auto"/>
            </w:tcBorders>
            <w:shd w:val="clear" w:color="auto" w:fill="FFFFFF"/>
            <w:tcMar>
              <w:top w:w="15" w:type="dxa"/>
              <w:left w:w="15" w:type="dxa"/>
              <w:bottom w:w="0" w:type="dxa"/>
              <w:right w:w="15" w:type="dxa"/>
            </w:tcMar>
            <w:vAlign w:val="center"/>
          </w:tcPr>
          <w:p w14:paraId="039CF100"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Mobility interruption time</w:t>
            </w:r>
          </w:p>
        </w:tc>
        <w:tc>
          <w:tcPr>
            <w:tcW w:w="1229"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36D63F6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0ms</w:t>
            </w:r>
          </w:p>
        </w:tc>
        <w:tc>
          <w:tcPr>
            <w:tcW w:w="1177" w:type="pct"/>
            <w:tcBorders>
              <w:top w:val="single" w:sz="6" w:space="0" w:color="auto"/>
              <w:left w:val="nil"/>
              <w:bottom w:val="single" w:sz="6" w:space="0" w:color="auto"/>
              <w:right w:val="single" w:sz="6" w:space="0" w:color="auto"/>
            </w:tcBorders>
            <w:shd w:val="clear" w:color="auto" w:fill="FFFFFF"/>
            <w:tcMar>
              <w:top w:w="15" w:type="dxa"/>
              <w:left w:w="15" w:type="dxa"/>
              <w:bottom w:w="0" w:type="dxa"/>
              <w:right w:w="15" w:type="dxa"/>
            </w:tcMar>
            <w:vAlign w:val="center"/>
          </w:tcPr>
          <w:p w14:paraId="544C1BCD"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Same as IMT-2020</w:t>
            </w:r>
          </w:p>
        </w:tc>
        <w:tc>
          <w:tcPr>
            <w:tcW w:w="1176" w:type="pct"/>
            <w:tcBorders>
              <w:top w:val="single" w:sz="6" w:space="0" w:color="auto"/>
              <w:left w:val="nil"/>
              <w:bottom w:val="single" w:sz="6" w:space="0" w:color="auto"/>
              <w:right w:val="single" w:sz="6" w:space="0" w:color="auto"/>
            </w:tcBorders>
            <w:shd w:val="clear" w:color="auto" w:fill="FFFFFF"/>
            <w:vAlign w:val="center"/>
          </w:tcPr>
          <w:p w14:paraId="06D37433" w14:textId="77777777" w:rsidR="00675CA9" w:rsidRDefault="00472078">
            <w:pPr>
              <w:snapToGrid w:val="0"/>
              <w:rPr>
                <w:rFonts w:ascii="Times New Roman" w:eastAsia="宋体" w:hAnsi="Times New Roman" w:cs="Times New Roman"/>
                <w:sz w:val="18"/>
                <w:szCs w:val="18"/>
              </w:rPr>
            </w:pPr>
            <w:r>
              <w:rPr>
                <w:rFonts w:ascii="Times New Roman" w:eastAsia="宋体" w:hAnsi="Times New Roman" w:cs="Times New Roman"/>
                <w:sz w:val="18"/>
                <w:szCs w:val="18"/>
              </w:rPr>
              <w:t>0ms</w:t>
            </w:r>
          </w:p>
        </w:tc>
      </w:tr>
    </w:tbl>
    <w:p w14:paraId="78A44121" w14:textId="77777777" w:rsidR="00675CA9" w:rsidRDefault="00675CA9">
      <w:pPr>
        <w:snapToGrid w:val="0"/>
        <w:spacing w:line="276" w:lineRule="auto"/>
        <w:rPr>
          <w:rFonts w:ascii="Times New Roman" w:hAnsi="Times New Roman" w:cs="Times New Roman"/>
        </w:rPr>
      </w:pPr>
    </w:p>
    <w:p w14:paraId="50639556" w14:textId="77777777" w:rsidR="00675CA9" w:rsidRDefault="00472078">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 xml:space="preserve">In our view, the above targets represent reasonable advanced TPR values for IMT-2030, compared to IMT-2020. </w:t>
      </w:r>
    </w:p>
    <w:p w14:paraId="1764D1F2" w14:textId="77777777" w:rsidR="00675CA9" w:rsidRDefault="00472078">
      <w:pPr>
        <w:snapToGrid w:val="0"/>
        <w:spacing w:beforeLines="50" w:before="120" w:after="120"/>
        <w:rPr>
          <w:rFonts w:ascii="Times New Roman" w:hAnsi="Times New Roman" w:cs="Times New Roman"/>
          <w:sz w:val="20"/>
          <w:szCs w:val="20"/>
        </w:rPr>
      </w:pPr>
      <w:r>
        <w:rPr>
          <w:rFonts w:ascii="Times New Roman" w:hAnsi="Times New Roman" w:cs="Times New Roman"/>
          <w:sz w:val="20"/>
          <w:szCs w:val="20"/>
        </w:rPr>
        <w:t>It can also be noted that 3GPP NR technologies passed the ITU-R IMT-2020 requirements with huge margins for some TPRs, for instance, DL peak data rate can be as high as 171.2 Gbps (in FR2), which is more than 8 times higher than IMT-2020 TPR on DL peak data rate. NR can also achieve 64.6 Gbps (in FR2) UL peak data rate, which is already 6 times higher than IMT-2020 TPR. Thus, even if we propose to set the TPR of peak data rate to be 5 times higher than IMT-2020, it can be seen as a moderately advanced goal as NR can already satisfy this goal.</w:t>
      </w:r>
    </w:p>
    <w:p w14:paraId="11D6F241" w14:textId="77777777" w:rsidR="00675CA9" w:rsidRDefault="00472078">
      <w:pPr>
        <w:snapToGrid w:val="0"/>
        <w:spacing w:beforeLines="50" w:before="120" w:after="120"/>
        <w:rPr>
          <w:rFonts w:ascii="Times New Roman" w:hAnsi="Times New Roman" w:cs="Times New Roman"/>
          <w:sz w:val="20"/>
          <w:szCs w:val="20"/>
        </w:rPr>
      </w:pPr>
      <w:r>
        <w:rPr>
          <w:rFonts w:ascii="Times New Roman" w:eastAsia="宋体" w:hAnsi="Times New Roman" w:cs="Times New Roman"/>
          <w:b/>
          <w:bCs/>
          <w:sz w:val="20"/>
          <w:szCs w:val="20"/>
        </w:rPr>
        <w:t>Observation</w:t>
      </w:r>
      <w:r>
        <w:rPr>
          <w:rFonts w:ascii="Times New Roman" w:eastAsia="宋体" w:hAnsi="Times New Roman" w:cs="Times New Roman" w:hint="eastAsia"/>
          <w:b/>
          <w:bCs/>
          <w:sz w:val="20"/>
          <w:szCs w:val="20"/>
        </w:rPr>
        <w:t xml:space="preserve"> 1</w:t>
      </w:r>
      <w:r>
        <w:rPr>
          <w:rFonts w:ascii="Times New Roman" w:eastAsia="宋体" w:hAnsi="Times New Roman" w:cs="Times New Roman"/>
          <w:b/>
          <w:bCs/>
          <w:sz w:val="20"/>
          <w:szCs w:val="20"/>
        </w:rPr>
        <w:t xml:space="preserve">: </w:t>
      </w:r>
      <w:r>
        <w:rPr>
          <w:rFonts w:ascii="Times New Roman" w:hAnsi="Times New Roman" w:cs="Times New Roman"/>
          <w:sz w:val="20"/>
          <w:szCs w:val="20"/>
        </w:rPr>
        <w:t>According to TR 37.910 “Study on self evaluation towards IMT-2020 submission”, many of the proposed IMT-2020 TPR target values are met by 3GPP NR Rel-15 technologies with a large margin.</w:t>
      </w:r>
    </w:p>
    <w:p w14:paraId="7E186A12" w14:textId="77777777" w:rsidR="00675CA9" w:rsidRDefault="00472078">
      <w:pPr>
        <w:pStyle w:val="1"/>
        <w:numPr>
          <w:ilvl w:val="0"/>
          <w:numId w:val="2"/>
        </w:numPr>
        <w:snapToGrid w:val="0"/>
        <w:spacing w:line="276" w:lineRule="auto"/>
        <w:rPr>
          <w:rFonts w:cs="Arial"/>
          <w:szCs w:val="22"/>
        </w:rPr>
      </w:pPr>
      <w:r>
        <w:rPr>
          <w:rFonts w:cs="Arial"/>
          <w:szCs w:val="22"/>
        </w:rPr>
        <w:t>Summary</w:t>
      </w:r>
    </w:p>
    <w:p w14:paraId="09AA392A" w14:textId="77777777" w:rsidR="00675CA9" w:rsidRDefault="00472078">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_Ref32606461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b/>
          <w:sz w:val="20"/>
          <w:szCs w:val="20"/>
        </w:rPr>
        <w:t>Proposal 1: Define the values for the list of TPRs</w:t>
      </w:r>
      <w:r>
        <w:rPr>
          <w:rFonts w:ascii="Times New Roman" w:hAnsi="Times New Roman" w:cs="Times New Roman" w:hint="eastAsia"/>
          <w:b/>
          <w:sz w:val="20"/>
          <w:szCs w:val="20"/>
        </w:rPr>
        <w:t xml:space="preserve"> and RAN KPIs</w:t>
      </w:r>
      <w:r>
        <w:rPr>
          <w:rFonts w:ascii="Times New Roman" w:hAnsi="Times New Roman" w:cs="Times New Roman"/>
          <w:b/>
          <w:sz w:val="20"/>
          <w:szCs w:val="20"/>
        </w:rPr>
        <w:t xml:space="preserve"> as in the table above (sec. 2). </w:t>
      </w:r>
      <w:r>
        <w:rPr>
          <w:rFonts w:ascii="Times New Roman" w:hAnsi="Times New Roman" w:cs="Times New Roman"/>
          <w:sz w:val="20"/>
          <w:szCs w:val="20"/>
        </w:rPr>
        <w:fldChar w:fldCharType="end"/>
      </w:r>
    </w:p>
    <w:p w14:paraId="625FC737" w14:textId="77777777" w:rsidR="00675CA9" w:rsidRDefault="00472078">
      <w:pPr>
        <w:snapToGrid w:val="0"/>
        <w:spacing w:before="120" w:after="120"/>
        <w:rPr>
          <w:rFonts w:ascii="Times New Roman" w:hAnsi="Times New Roman" w:cs="Times New Roman"/>
          <w:sz w:val="20"/>
          <w:szCs w:val="20"/>
        </w:rPr>
      </w:pPr>
      <w:r>
        <w:rPr>
          <w:rFonts w:ascii="Times New Roman" w:eastAsia="宋体" w:hAnsi="Times New Roman" w:cs="Times New Roman"/>
          <w:b/>
          <w:bCs/>
          <w:sz w:val="20"/>
          <w:szCs w:val="20"/>
        </w:rPr>
        <w:t>Observation</w:t>
      </w:r>
      <w:r>
        <w:rPr>
          <w:rFonts w:ascii="Times New Roman" w:eastAsia="宋体" w:hAnsi="Times New Roman" w:cs="Times New Roman" w:hint="eastAsia"/>
          <w:b/>
          <w:bCs/>
          <w:sz w:val="20"/>
          <w:szCs w:val="20"/>
        </w:rPr>
        <w:t xml:space="preserve"> 1</w:t>
      </w:r>
      <w:r>
        <w:rPr>
          <w:rFonts w:ascii="Times New Roman" w:eastAsia="宋体" w:hAnsi="Times New Roman" w:cs="Times New Roman"/>
          <w:b/>
          <w:bCs/>
          <w:sz w:val="20"/>
          <w:szCs w:val="20"/>
        </w:rPr>
        <w:t xml:space="preserve">: </w:t>
      </w:r>
      <w:r>
        <w:rPr>
          <w:rFonts w:ascii="Times New Roman" w:hAnsi="Times New Roman" w:cs="Times New Roman"/>
          <w:sz w:val="20"/>
          <w:szCs w:val="20"/>
        </w:rPr>
        <w:t>According to TR 37.910 “Study on self evaluation towards IMT-2020 submission”, many of the proposed IMT-2020 TPR target values are met by 3GPP NR technologies with a large margin.</w:t>
      </w:r>
    </w:p>
    <w:p w14:paraId="0F6A6359" w14:textId="77777777" w:rsidR="00675CA9" w:rsidRDefault="00472078">
      <w:pPr>
        <w:pStyle w:val="1"/>
        <w:numPr>
          <w:ilvl w:val="0"/>
          <w:numId w:val="2"/>
        </w:numPr>
        <w:snapToGrid w:val="0"/>
        <w:spacing w:line="276" w:lineRule="auto"/>
        <w:rPr>
          <w:rFonts w:cs="Arial"/>
          <w:szCs w:val="22"/>
        </w:rPr>
      </w:pPr>
      <w:r>
        <w:rPr>
          <w:rFonts w:cs="Arial"/>
          <w:szCs w:val="22"/>
        </w:rPr>
        <w:t>References</w:t>
      </w:r>
    </w:p>
    <w:p w14:paraId="7F72030D" w14:textId="77777777" w:rsidR="00675CA9" w:rsidRDefault="00472078">
      <w:pPr>
        <w:numPr>
          <w:ilvl w:val="0"/>
          <w:numId w:val="6"/>
        </w:numPr>
        <w:snapToGrid w:val="0"/>
        <w:spacing w:line="276" w:lineRule="auto"/>
        <w:rPr>
          <w:rFonts w:ascii="Times New Roman" w:hAnsi="Times New Roman" w:cs="Times New Roman"/>
          <w:sz w:val="20"/>
          <w:szCs w:val="20"/>
        </w:rPr>
      </w:pPr>
      <w:r>
        <w:rPr>
          <w:rFonts w:ascii="Times New Roman" w:hAnsi="Times New Roman" w:cs="Times New Roman"/>
          <w:bCs/>
          <w:sz w:val="20"/>
          <w:szCs w:val="20"/>
        </w:rPr>
        <w:t>RP-240823 Additional Considerations for 6G Timeline Source: TSG Chairs</w:t>
      </w:r>
    </w:p>
    <w:p w14:paraId="53EC12FE" w14:textId="77777777" w:rsidR="00675CA9" w:rsidRDefault="00472078">
      <w:pPr>
        <w:numPr>
          <w:ilvl w:val="0"/>
          <w:numId w:val="6"/>
        </w:numPr>
        <w:snapToGrid w:val="0"/>
        <w:spacing w:line="276" w:lineRule="auto"/>
        <w:rPr>
          <w:rFonts w:ascii="Times New Roman" w:hAnsi="Times New Roman" w:cs="Times New Roman"/>
          <w:sz w:val="20"/>
          <w:szCs w:val="20"/>
        </w:rPr>
      </w:pPr>
      <w:r>
        <w:rPr>
          <w:rFonts w:ascii="Times New Roman" w:hAnsi="Times New Roman" w:cs="Times New Roman"/>
          <w:bCs/>
          <w:sz w:val="20"/>
          <w:szCs w:val="20"/>
        </w:rPr>
        <w:t>RP-</w:t>
      </w:r>
      <w:r>
        <w:rPr>
          <w:rFonts w:ascii="Times New Roman" w:hAnsi="Times New Roman" w:cs="Times New Roman" w:hint="eastAsia"/>
          <w:bCs/>
          <w:sz w:val="20"/>
          <w:szCs w:val="20"/>
        </w:rPr>
        <w:t>250810</w:t>
      </w:r>
      <w:r>
        <w:rPr>
          <w:rFonts w:ascii="Times New Roman" w:hAnsi="Times New Roman" w:cs="Times New Roman"/>
          <w:bCs/>
          <w:sz w:val="20"/>
          <w:szCs w:val="20"/>
        </w:rPr>
        <w:t xml:space="preserve"> “Revised SID: Study on 6G Scenarios and requirements”, CMCC, Verizon, NTT DOCOMO, INC., Deutsche Telekom</w:t>
      </w:r>
    </w:p>
    <w:p w14:paraId="22A16B20" w14:textId="77777777" w:rsidR="00675CA9" w:rsidRDefault="00472078">
      <w:pPr>
        <w:numPr>
          <w:ilvl w:val="0"/>
          <w:numId w:val="6"/>
        </w:numPr>
        <w:snapToGrid w:val="0"/>
        <w:spacing w:line="276" w:lineRule="auto"/>
        <w:rPr>
          <w:rFonts w:ascii="Times New Roman" w:hAnsi="Times New Roman" w:cs="Times New Roman"/>
          <w:sz w:val="20"/>
          <w:szCs w:val="20"/>
        </w:rPr>
      </w:pPr>
      <w:r>
        <w:rPr>
          <w:rFonts w:ascii="Times New Roman" w:hAnsi="Times New Roman" w:cs="Times New Roman"/>
          <w:bCs/>
          <w:sz w:val="20"/>
          <w:szCs w:val="20"/>
        </w:rPr>
        <w:t>RP-243202</w:t>
      </w:r>
      <w:r>
        <w:rPr>
          <w:rFonts w:ascii="Times New Roman" w:hAnsi="Times New Roman" w:cs="Times New Roman"/>
          <w:bCs/>
          <w:sz w:val="20"/>
          <w:szCs w:val="20"/>
        </w:rPr>
        <w:tab/>
        <w:t>Liaison Statement to External Organizations Minimum requirements related to technical performance for IMT-2030 radio interface(s), source ITU-R WP5D, 3GPP TSG#106, December 2024</w:t>
      </w:r>
    </w:p>
    <w:p w14:paraId="25975DBA" w14:textId="77777777" w:rsidR="00675CA9" w:rsidRDefault="00472078">
      <w:pPr>
        <w:numPr>
          <w:ilvl w:val="0"/>
          <w:numId w:val="6"/>
        </w:numPr>
        <w:snapToGrid w:val="0"/>
        <w:spacing w:line="276" w:lineRule="auto"/>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TU-R WP5D 563 Report on the 48th meeting of Working Party 5D (Geneva, 4-13 February 2025) Chair, WP 5D</w:t>
      </w:r>
    </w:p>
    <w:p w14:paraId="3AF37DC4" w14:textId="77777777" w:rsidR="00675CA9" w:rsidRDefault="00472078">
      <w:pPr>
        <w:numPr>
          <w:ilvl w:val="0"/>
          <w:numId w:val="6"/>
        </w:numPr>
        <w:snapToGrid w:val="0"/>
        <w:spacing w:line="276" w:lineRule="auto"/>
        <w:rPr>
          <w:rFonts w:ascii="Times New Roman" w:hAnsi="Times New Roman" w:cs="Times New Roman"/>
          <w:sz w:val="20"/>
          <w:szCs w:val="20"/>
        </w:rPr>
      </w:pPr>
      <w:r>
        <w:rPr>
          <w:rFonts w:ascii="Times New Roman" w:hAnsi="Times New Roman" w:cs="Times New Roman" w:hint="eastAsia"/>
          <w:sz w:val="20"/>
          <w:szCs w:val="20"/>
        </w:rPr>
        <w:t xml:space="preserve">3GPP RAN, TR 37.910, </w:t>
      </w:r>
      <w:r>
        <w:rPr>
          <w:rFonts w:ascii="Times New Roman" w:hAnsi="Times New Roman" w:cs="Times New Roman"/>
          <w:sz w:val="20"/>
          <w:szCs w:val="20"/>
        </w:rPr>
        <w:t>“Study on self evaluation towards IMT-2020 submission”</w:t>
      </w:r>
    </w:p>
    <w:p w14:paraId="2A2C8FD6" w14:textId="77777777" w:rsidR="00675CA9" w:rsidRDefault="00472078">
      <w:pPr>
        <w:numPr>
          <w:ilvl w:val="0"/>
          <w:numId w:val="6"/>
        </w:numPr>
        <w:snapToGrid w:val="0"/>
        <w:spacing w:line="276" w:lineRule="auto"/>
        <w:rPr>
          <w:rFonts w:ascii="Times New Roman" w:hAnsi="Times New Roman" w:cs="Times New Roman"/>
          <w:sz w:val="20"/>
          <w:szCs w:val="20"/>
        </w:rPr>
      </w:pPr>
      <w:bookmarkStart w:id="3" w:name="_Ref195879845"/>
      <w:r>
        <w:rPr>
          <w:rFonts w:ascii="Times New Roman" w:hAnsi="Times New Roman" w:cs="Times New Roman" w:hint="eastAsia"/>
          <w:sz w:val="20"/>
          <w:szCs w:val="20"/>
        </w:rPr>
        <w:t xml:space="preserve">RP-250819 </w:t>
      </w:r>
      <w:r>
        <w:rPr>
          <w:rFonts w:ascii="Times New Roman" w:hAnsi="Times New Roman" w:cs="Times New Roman"/>
          <w:sz w:val="20"/>
          <w:szCs w:val="20"/>
        </w:rPr>
        <w:t>Moderator's summary for IMT-2030 TPRs</w:t>
      </w:r>
      <w:r>
        <w:rPr>
          <w:rFonts w:ascii="Times New Roman" w:hAnsi="Times New Roman" w:cs="Times New Roman" w:hint="eastAsia"/>
          <w:sz w:val="20"/>
          <w:szCs w:val="20"/>
        </w:rPr>
        <w:t xml:space="preserve">, </w:t>
      </w:r>
      <w:r>
        <w:rPr>
          <w:rFonts w:ascii="Times New Roman" w:hAnsi="Times New Roman" w:cs="Times New Roman"/>
          <w:sz w:val="20"/>
          <w:szCs w:val="20"/>
        </w:rPr>
        <w:t>Moderator (CMCC)</w:t>
      </w:r>
      <w:bookmarkEnd w:id="3"/>
    </w:p>
    <w:p w14:paraId="0A96D119" w14:textId="77777777" w:rsidR="00675CA9" w:rsidRDefault="00472078">
      <w:pPr>
        <w:numPr>
          <w:ilvl w:val="0"/>
          <w:numId w:val="6"/>
        </w:numPr>
        <w:snapToGrid w:val="0"/>
        <w:spacing w:line="276" w:lineRule="auto"/>
        <w:rPr>
          <w:rFonts w:ascii="Times New Roman" w:hAnsi="Times New Roman" w:cs="Times New Roman"/>
          <w:sz w:val="20"/>
          <w:szCs w:val="20"/>
        </w:rPr>
      </w:pPr>
      <w:bookmarkStart w:id="4" w:name="_Ref195880377"/>
      <w:r>
        <w:rPr>
          <w:rFonts w:ascii="Times New Roman" w:hAnsi="Times New Roman" w:cs="Times New Roman" w:hint="eastAsia"/>
          <w:sz w:val="20"/>
          <w:szCs w:val="20"/>
        </w:rPr>
        <w:t xml:space="preserve">Report ITU-R M.2412-0 </w:t>
      </w:r>
      <w:r>
        <w:rPr>
          <w:rFonts w:ascii="Times New Roman" w:hAnsi="Times New Roman" w:cs="Times New Roman"/>
          <w:sz w:val="20"/>
          <w:szCs w:val="20"/>
        </w:rPr>
        <w:t>“Guidelines for evaluation of radio interface technologies for IMT-2020”</w:t>
      </w:r>
      <w:bookmarkEnd w:id="4"/>
    </w:p>
    <w:p w14:paraId="56E06314" w14:textId="77777777" w:rsidR="00675CA9" w:rsidRDefault="00472078">
      <w:pPr>
        <w:numPr>
          <w:ilvl w:val="0"/>
          <w:numId w:val="6"/>
        </w:numPr>
        <w:snapToGrid w:val="0"/>
        <w:spacing w:line="276" w:lineRule="auto"/>
        <w:rPr>
          <w:rFonts w:ascii="Times New Roman" w:hAnsi="Times New Roman" w:cs="Times New Roman"/>
          <w:color w:val="0D0D0D"/>
          <w:sz w:val="20"/>
          <w:szCs w:val="20"/>
        </w:rPr>
      </w:pPr>
      <w:bookmarkStart w:id="5" w:name="_Ref196123901"/>
      <w:r>
        <w:rPr>
          <w:rFonts w:ascii="Times New Roman" w:hAnsi="Times New Roman" w:cs="Times New Roman" w:hint="eastAsia"/>
          <w:sz w:val="20"/>
          <w:szCs w:val="20"/>
        </w:rPr>
        <w:t xml:space="preserve">3GPP SA1, TR 22.870, </w:t>
      </w:r>
      <w:r>
        <w:rPr>
          <w:rFonts w:ascii="Times New Roman" w:hAnsi="Times New Roman" w:cs="Times New Roman"/>
          <w:sz w:val="20"/>
          <w:szCs w:val="20"/>
        </w:rPr>
        <w:t>“Study on 6G Use Cases and Service Requirements”</w:t>
      </w:r>
      <w:bookmarkEnd w:id="5"/>
    </w:p>
    <w:p w14:paraId="7945DC8A" w14:textId="77777777" w:rsidR="00675CA9" w:rsidRDefault="00472078">
      <w:pPr>
        <w:numPr>
          <w:ilvl w:val="0"/>
          <w:numId w:val="6"/>
        </w:numPr>
        <w:snapToGrid w:val="0"/>
        <w:spacing w:line="276" w:lineRule="auto"/>
        <w:rPr>
          <w:rFonts w:ascii="Times New Roman" w:hAnsi="Times New Roman" w:cs="Times New Roman"/>
          <w:color w:val="0D0D0D"/>
          <w:sz w:val="20"/>
          <w:szCs w:val="20"/>
        </w:rPr>
      </w:pPr>
      <w:bookmarkStart w:id="6" w:name="_Ref204161495"/>
      <w:r>
        <w:rPr>
          <w:rFonts w:ascii="Times New Roman" w:hAnsi="Times New Roman" w:cs="Times New Roman" w:hint="eastAsia"/>
          <w:sz w:val="20"/>
          <w:szCs w:val="20"/>
        </w:rPr>
        <w:t xml:space="preserve">RP-251825 </w:t>
      </w:r>
      <w:r>
        <w:rPr>
          <w:rFonts w:ascii="Times New Roman" w:hAnsi="Times New Roman" w:cs="Times New Roman"/>
          <w:bCs/>
          <w:sz w:val="20"/>
          <w:szCs w:val="20"/>
          <w:lang w:val="en-GB"/>
        </w:rPr>
        <w:t xml:space="preserve">Reply LS to ITU-R WP5D =RP-243202 on Minimum requirements related to technical performance for </w:t>
      </w:r>
      <w:bookmarkStart w:id="7" w:name="OLE_LINK2"/>
      <w:r>
        <w:rPr>
          <w:rFonts w:ascii="Times New Roman" w:hAnsi="Times New Roman" w:cs="Times New Roman"/>
          <w:bCs/>
          <w:sz w:val="20"/>
          <w:szCs w:val="20"/>
          <w:lang w:val="en-GB"/>
        </w:rPr>
        <w:t>IMT-2030 radio interface</w:t>
      </w:r>
      <w:bookmarkEnd w:id="7"/>
      <w:r>
        <w:rPr>
          <w:rFonts w:ascii="Times New Roman" w:hAnsi="Times New Roman" w:cs="Times New Roman"/>
          <w:bCs/>
          <w:sz w:val="20"/>
          <w:szCs w:val="20"/>
          <w:lang w:val="en-GB"/>
        </w:rPr>
        <w:t>(s)</w:t>
      </w:r>
      <w:r>
        <w:rPr>
          <w:rFonts w:ascii="Times New Roman" w:hAnsi="Times New Roman" w:cs="Times New Roman" w:hint="eastAsia"/>
          <w:bCs/>
          <w:sz w:val="20"/>
          <w:szCs w:val="20"/>
          <w:lang w:val="en-GB"/>
        </w:rPr>
        <w:t>, RAN</w:t>
      </w:r>
      <w:bookmarkEnd w:id="6"/>
    </w:p>
    <w:p w14:paraId="082A9804" w14:textId="77777777" w:rsidR="00675CA9" w:rsidRDefault="00472078">
      <w:pPr>
        <w:numPr>
          <w:ilvl w:val="0"/>
          <w:numId w:val="6"/>
        </w:numPr>
        <w:snapToGrid w:val="0"/>
        <w:spacing w:line="276" w:lineRule="auto"/>
        <w:rPr>
          <w:rFonts w:ascii="Times New Roman" w:hAnsi="Times New Roman" w:cs="Times New Roman"/>
          <w:color w:val="0D0D0D"/>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TU-R Document 5D/TEMP/345-R1: </w:t>
      </w:r>
      <w:r>
        <w:rPr>
          <w:rFonts w:ascii="Times New Roman" w:hAnsi="Times New Roman" w:cs="Times New Roman"/>
          <w:color w:val="0D0D0D"/>
          <w:sz w:val="20"/>
          <w:szCs w:val="20"/>
        </w:rPr>
        <w:t>Working Document Towards A Preliminary Draft New Report ITU-R M.[IMT-</w:t>
      </w:r>
      <w:r>
        <w:rPr>
          <w:rFonts w:ascii="Times New Roman" w:hAnsi="Times New Roman" w:cs="Times New Roman"/>
          <w:color w:val="0D0D0D"/>
          <w:sz w:val="20"/>
          <w:szCs w:val="20"/>
        </w:rPr>
        <w:lastRenderedPageBreak/>
        <w:t>2030.TECH PERF REQ]</w:t>
      </w:r>
    </w:p>
    <w:sectPr w:rsidR="00675CA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FF087" w14:textId="77777777" w:rsidR="00D65B75" w:rsidRDefault="00D65B75">
      <w:r>
        <w:separator/>
      </w:r>
    </w:p>
  </w:endnote>
  <w:endnote w:type="continuationSeparator" w:id="0">
    <w:p w14:paraId="27E0002C" w14:textId="77777777" w:rsidR="00D65B75" w:rsidRDefault="00D65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D18F9" w14:textId="77777777" w:rsidR="00D65B75" w:rsidRDefault="00D65B75">
      <w:r>
        <w:separator/>
      </w:r>
    </w:p>
  </w:footnote>
  <w:footnote w:type="continuationSeparator" w:id="0">
    <w:p w14:paraId="72A7B4E5" w14:textId="77777777" w:rsidR="00D65B75" w:rsidRDefault="00D65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8C0DCEB"/>
    <w:multiLevelType w:val="singleLevel"/>
    <w:tmpl w:val="98C0DCEB"/>
    <w:lvl w:ilvl="0">
      <w:start w:val="1"/>
      <w:numFmt w:val="decimal"/>
      <w:suff w:val="space"/>
      <w:lvlText w:val="[%1]"/>
      <w:lvlJc w:val="left"/>
      <w:rPr>
        <w:sz w:val="20"/>
        <w:szCs w:val="20"/>
      </w:rPr>
    </w:lvl>
  </w:abstractNum>
  <w:abstractNum w:abstractNumId="1" w15:restartNumberingAfterBreak="0">
    <w:nsid w:val="16F27B6A"/>
    <w:multiLevelType w:val="multilevel"/>
    <w:tmpl w:val="16F27B6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CCD7C24"/>
    <w:multiLevelType w:val="multilevel"/>
    <w:tmpl w:val="2CCD7C24"/>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5E872652"/>
    <w:multiLevelType w:val="multilevel"/>
    <w:tmpl w:val="5E87265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
  </w:num>
  <w:num w:numId="2">
    <w:abstractNumId w:val="5"/>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B6A"/>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4C5"/>
    <w:rsid w:val="000447EE"/>
    <w:rsid w:val="00044D3E"/>
    <w:rsid w:val="0004503D"/>
    <w:rsid w:val="00045170"/>
    <w:rsid w:val="000452C5"/>
    <w:rsid w:val="000452F9"/>
    <w:rsid w:val="000455B8"/>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6D6"/>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29C"/>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1C5B"/>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CF3"/>
    <w:rsid w:val="000F0E8B"/>
    <w:rsid w:val="000F1031"/>
    <w:rsid w:val="000F1B61"/>
    <w:rsid w:val="000F20AC"/>
    <w:rsid w:val="000F2F02"/>
    <w:rsid w:val="000F3157"/>
    <w:rsid w:val="000F3186"/>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0B04"/>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1C1"/>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62E"/>
    <w:rsid w:val="001729D3"/>
    <w:rsid w:val="00172DC0"/>
    <w:rsid w:val="00172F69"/>
    <w:rsid w:val="0017329A"/>
    <w:rsid w:val="00173F96"/>
    <w:rsid w:val="00174A1D"/>
    <w:rsid w:val="00174EC2"/>
    <w:rsid w:val="0017551C"/>
    <w:rsid w:val="001756C2"/>
    <w:rsid w:val="00175715"/>
    <w:rsid w:val="00175CD8"/>
    <w:rsid w:val="00175DE8"/>
    <w:rsid w:val="00176645"/>
    <w:rsid w:val="00176ED6"/>
    <w:rsid w:val="00177943"/>
    <w:rsid w:val="00180811"/>
    <w:rsid w:val="0018081E"/>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0E7"/>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E5C"/>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415"/>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307"/>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2C"/>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0F2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06C"/>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4D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A9"/>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3034"/>
    <w:rsid w:val="00293038"/>
    <w:rsid w:val="00293688"/>
    <w:rsid w:val="002940D0"/>
    <w:rsid w:val="002947BB"/>
    <w:rsid w:val="00294B67"/>
    <w:rsid w:val="00294E8F"/>
    <w:rsid w:val="00296DC9"/>
    <w:rsid w:val="00297370"/>
    <w:rsid w:val="00297BFB"/>
    <w:rsid w:val="00297CDF"/>
    <w:rsid w:val="002A00D4"/>
    <w:rsid w:val="002A00DD"/>
    <w:rsid w:val="002A0393"/>
    <w:rsid w:val="002A0A2F"/>
    <w:rsid w:val="002A0B02"/>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61E"/>
    <w:rsid w:val="002A7EFD"/>
    <w:rsid w:val="002A7F4E"/>
    <w:rsid w:val="002B034A"/>
    <w:rsid w:val="002B072A"/>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03E"/>
    <w:rsid w:val="002B5565"/>
    <w:rsid w:val="002B5808"/>
    <w:rsid w:val="002B606E"/>
    <w:rsid w:val="002B6194"/>
    <w:rsid w:val="002B6850"/>
    <w:rsid w:val="002B6DF5"/>
    <w:rsid w:val="002B70BB"/>
    <w:rsid w:val="002B773C"/>
    <w:rsid w:val="002B7DE6"/>
    <w:rsid w:val="002C0245"/>
    <w:rsid w:val="002C0A17"/>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1CD9"/>
    <w:rsid w:val="002F27B3"/>
    <w:rsid w:val="002F304A"/>
    <w:rsid w:val="002F3203"/>
    <w:rsid w:val="002F3287"/>
    <w:rsid w:val="002F3323"/>
    <w:rsid w:val="002F3451"/>
    <w:rsid w:val="002F3AB4"/>
    <w:rsid w:val="002F41F9"/>
    <w:rsid w:val="002F462D"/>
    <w:rsid w:val="002F46F3"/>
    <w:rsid w:val="002F4AC9"/>
    <w:rsid w:val="002F4C8F"/>
    <w:rsid w:val="002F54FD"/>
    <w:rsid w:val="002F6455"/>
    <w:rsid w:val="002F64BB"/>
    <w:rsid w:val="002F6ABF"/>
    <w:rsid w:val="002F6CBF"/>
    <w:rsid w:val="002F6CF8"/>
    <w:rsid w:val="002F7266"/>
    <w:rsid w:val="002F72DA"/>
    <w:rsid w:val="002F7FF6"/>
    <w:rsid w:val="0030017A"/>
    <w:rsid w:val="003002F9"/>
    <w:rsid w:val="0030043E"/>
    <w:rsid w:val="00300EEB"/>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E1B"/>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5A"/>
    <w:rsid w:val="003429AC"/>
    <w:rsid w:val="00342E17"/>
    <w:rsid w:val="00342E44"/>
    <w:rsid w:val="0034371C"/>
    <w:rsid w:val="00343854"/>
    <w:rsid w:val="00343FE8"/>
    <w:rsid w:val="00344510"/>
    <w:rsid w:val="003447A5"/>
    <w:rsid w:val="00345022"/>
    <w:rsid w:val="0034547C"/>
    <w:rsid w:val="00345F76"/>
    <w:rsid w:val="00346539"/>
    <w:rsid w:val="0034654C"/>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ACB"/>
    <w:rsid w:val="00371C3B"/>
    <w:rsid w:val="00371D84"/>
    <w:rsid w:val="00372595"/>
    <w:rsid w:val="00372613"/>
    <w:rsid w:val="00372779"/>
    <w:rsid w:val="00372AC1"/>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3F50"/>
    <w:rsid w:val="00394075"/>
    <w:rsid w:val="00394333"/>
    <w:rsid w:val="00394557"/>
    <w:rsid w:val="00394A1B"/>
    <w:rsid w:val="00394A49"/>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2B86"/>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144"/>
    <w:rsid w:val="003B02A0"/>
    <w:rsid w:val="003B030B"/>
    <w:rsid w:val="003B0AF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1D54"/>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1C3"/>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E0A"/>
    <w:rsid w:val="00423AEC"/>
    <w:rsid w:val="00423D92"/>
    <w:rsid w:val="004248EA"/>
    <w:rsid w:val="00424FA7"/>
    <w:rsid w:val="00424FCB"/>
    <w:rsid w:val="00424FEC"/>
    <w:rsid w:val="004252E3"/>
    <w:rsid w:val="004255A0"/>
    <w:rsid w:val="00425ACE"/>
    <w:rsid w:val="00425D21"/>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3FB4"/>
    <w:rsid w:val="00434AD0"/>
    <w:rsid w:val="00434B64"/>
    <w:rsid w:val="00434D08"/>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5132D"/>
    <w:rsid w:val="00451440"/>
    <w:rsid w:val="00451518"/>
    <w:rsid w:val="00451C6F"/>
    <w:rsid w:val="00451D4B"/>
    <w:rsid w:val="004523FB"/>
    <w:rsid w:val="00452564"/>
    <w:rsid w:val="00452619"/>
    <w:rsid w:val="00452D7E"/>
    <w:rsid w:val="00452DAB"/>
    <w:rsid w:val="00452E29"/>
    <w:rsid w:val="004532D0"/>
    <w:rsid w:val="00453335"/>
    <w:rsid w:val="00453341"/>
    <w:rsid w:val="00453A40"/>
    <w:rsid w:val="00453D70"/>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078"/>
    <w:rsid w:val="004721D5"/>
    <w:rsid w:val="004724E0"/>
    <w:rsid w:val="004726E2"/>
    <w:rsid w:val="00472DBC"/>
    <w:rsid w:val="00473924"/>
    <w:rsid w:val="00474107"/>
    <w:rsid w:val="00474255"/>
    <w:rsid w:val="004742DF"/>
    <w:rsid w:val="00474A34"/>
    <w:rsid w:val="00474BF3"/>
    <w:rsid w:val="00474EA8"/>
    <w:rsid w:val="00475329"/>
    <w:rsid w:val="00475688"/>
    <w:rsid w:val="00475DE1"/>
    <w:rsid w:val="00475F8F"/>
    <w:rsid w:val="00476198"/>
    <w:rsid w:val="00476991"/>
    <w:rsid w:val="00476BB6"/>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3FA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27A"/>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2BC"/>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A7B"/>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2C4F"/>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1C"/>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15F"/>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25C"/>
    <w:rsid w:val="00550457"/>
    <w:rsid w:val="0055070C"/>
    <w:rsid w:val="00550AEE"/>
    <w:rsid w:val="00550B00"/>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AD3"/>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2F39"/>
    <w:rsid w:val="00563179"/>
    <w:rsid w:val="0056337C"/>
    <w:rsid w:val="00564315"/>
    <w:rsid w:val="00564578"/>
    <w:rsid w:val="005647E4"/>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1B74"/>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12E"/>
    <w:rsid w:val="0058632E"/>
    <w:rsid w:val="005865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3B7"/>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BFA"/>
    <w:rsid w:val="005C2D1F"/>
    <w:rsid w:val="005C2EA3"/>
    <w:rsid w:val="005C33A4"/>
    <w:rsid w:val="005C369E"/>
    <w:rsid w:val="005C3760"/>
    <w:rsid w:val="005C3969"/>
    <w:rsid w:val="005C4281"/>
    <w:rsid w:val="005C4450"/>
    <w:rsid w:val="005C502F"/>
    <w:rsid w:val="005C5987"/>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2D"/>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1BB"/>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37C"/>
    <w:rsid w:val="00606789"/>
    <w:rsid w:val="006073F2"/>
    <w:rsid w:val="00607707"/>
    <w:rsid w:val="0060799E"/>
    <w:rsid w:val="00607C36"/>
    <w:rsid w:val="00607CDE"/>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1D"/>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1BE"/>
    <w:rsid w:val="00647276"/>
    <w:rsid w:val="00647A15"/>
    <w:rsid w:val="0065002A"/>
    <w:rsid w:val="00650244"/>
    <w:rsid w:val="0065044B"/>
    <w:rsid w:val="00650B1E"/>
    <w:rsid w:val="00650C35"/>
    <w:rsid w:val="00650D40"/>
    <w:rsid w:val="00651C59"/>
    <w:rsid w:val="0065205B"/>
    <w:rsid w:val="0065230C"/>
    <w:rsid w:val="00652518"/>
    <w:rsid w:val="006534F9"/>
    <w:rsid w:val="00653626"/>
    <w:rsid w:val="006536C7"/>
    <w:rsid w:val="00653BD3"/>
    <w:rsid w:val="00654408"/>
    <w:rsid w:val="00654D76"/>
    <w:rsid w:val="00655122"/>
    <w:rsid w:val="0065548B"/>
    <w:rsid w:val="0065589E"/>
    <w:rsid w:val="00655925"/>
    <w:rsid w:val="00655BA9"/>
    <w:rsid w:val="00655DF6"/>
    <w:rsid w:val="00655FB7"/>
    <w:rsid w:val="00656593"/>
    <w:rsid w:val="0065696A"/>
    <w:rsid w:val="00656C9D"/>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EFC"/>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CA9"/>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949"/>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1E9D"/>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859"/>
    <w:rsid w:val="006B7996"/>
    <w:rsid w:val="006B7D66"/>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47A"/>
    <w:rsid w:val="006D7657"/>
    <w:rsid w:val="006D7836"/>
    <w:rsid w:val="006D7CD4"/>
    <w:rsid w:val="006E0486"/>
    <w:rsid w:val="006E0777"/>
    <w:rsid w:val="006E0B0B"/>
    <w:rsid w:val="006E0D15"/>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53E"/>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7C3"/>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653"/>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4F1"/>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8B7"/>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8C0"/>
    <w:rsid w:val="007623B3"/>
    <w:rsid w:val="00762BB9"/>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1B5"/>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E04"/>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259"/>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492"/>
    <w:rsid w:val="007D072F"/>
    <w:rsid w:val="007D0C44"/>
    <w:rsid w:val="007D0D6C"/>
    <w:rsid w:val="007D20AB"/>
    <w:rsid w:val="007D214D"/>
    <w:rsid w:val="007D255F"/>
    <w:rsid w:val="007D2AA0"/>
    <w:rsid w:val="007D2C50"/>
    <w:rsid w:val="007D2C87"/>
    <w:rsid w:val="007D3A69"/>
    <w:rsid w:val="007D3B6C"/>
    <w:rsid w:val="007D3C22"/>
    <w:rsid w:val="007D3EA2"/>
    <w:rsid w:val="007D43D4"/>
    <w:rsid w:val="007D4A01"/>
    <w:rsid w:val="007D51B4"/>
    <w:rsid w:val="007D536F"/>
    <w:rsid w:val="007D55FD"/>
    <w:rsid w:val="007D5D3E"/>
    <w:rsid w:val="007D689B"/>
    <w:rsid w:val="007D6DFF"/>
    <w:rsid w:val="007D711D"/>
    <w:rsid w:val="007D7ABB"/>
    <w:rsid w:val="007E0936"/>
    <w:rsid w:val="007E09EE"/>
    <w:rsid w:val="007E1201"/>
    <w:rsid w:val="007E149C"/>
    <w:rsid w:val="007E1653"/>
    <w:rsid w:val="007E2344"/>
    <w:rsid w:val="007E2E2F"/>
    <w:rsid w:val="007E30DA"/>
    <w:rsid w:val="007E33B2"/>
    <w:rsid w:val="007E4777"/>
    <w:rsid w:val="007E4F09"/>
    <w:rsid w:val="007E5022"/>
    <w:rsid w:val="007E5401"/>
    <w:rsid w:val="007E5CFD"/>
    <w:rsid w:val="007E6002"/>
    <w:rsid w:val="007E67B4"/>
    <w:rsid w:val="007E6991"/>
    <w:rsid w:val="007E6C6F"/>
    <w:rsid w:val="007E6D11"/>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004"/>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A0"/>
    <w:rsid w:val="008162B5"/>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A3E"/>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91B"/>
    <w:rsid w:val="00843F2D"/>
    <w:rsid w:val="0084419C"/>
    <w:rsid w:val="008442C0"/>
    <w:rsid w:val="008443D8"/>
    <w:rsid w:val="0084449F"/>
    <w:rsid w:val="00844DB9"/>
    <w:rsid w:val="00845975"/>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AC7"/>
    <w:rsid w:val="00860B57"/>
    <w:rsid w:val="008613FA"/>
    <w:rsid w:val="0086192A"/>
    <w:rsid w:val="00861F23"/>
    <w:rsid w:val="00862CF7"/>
    <w:rsid w:val="00863105"/>
    <w:rsid w:val="008632DA"/>
    <w:rsid w:val="00863361"/>
    <w:rsid w:val="00863B4A"/>
    <w:rsid w:val="00863C49"/>
    <w:rsid w:val="00863DA4"/>
    <w:rsid w:val="00864277"/>
    <w:rsid w:val="00864B95"/>
    <w:rsid w:val="00864C24"/>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64BD"/>
    <w:rsid w:val="0087712E"/>
    <w:rsid w:val="00877348"/>
    <w:rsid w:val="008809E0"/>
    <w:rsid w:val="00880C1F"/>
    <w:rsid w:val="008815D1"/>
    <w:rsid w:val="0088190E"/>
    <w:rsid w:val="00881920"/>
    <w:rsid w:val="00881A9A"/>
    <w:rsid w:val="00881C68"/>
    <w:rsid w:val="008823AA"/>
    <w:rsid w:val="00882419"/>
    <w:rsid w:val="00882714"/>
    <w:rsid w:val="00882911"/>
    <w:rsid w:val="00882EC6"/>
    <w:rsid w:val="00883DA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4CC"/>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26E"/>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07F"/>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1FF"/>
    <w:rsid w:val="008F7672"/>
    <w:rsid w:val="008F7BBB"/>
    <w:rsid w:val="0090012D"/>
    <w:rsid w:val="00900415"/>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4FA"/>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3F55"/>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27BD1"/>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EC6"/>
    <w:rsid w:val="00944B62"/>
    <w:rsid w:val="00945637"/>
    <w:rsid w:val="009457CE"/>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7F5"/>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95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27"/>
    <w:rsid w:val="009A01B0"/>
    <w:rsid w:val="009A02C2"/>
    <w:rsid w:val="009A0D0C"/>
    <w:rsid w:val="009A0DB0"/>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027"/>
    <w:rsid w:val="009D087D"/>
    <w:rsid w:val="009D0D3B"/>
    <w:rsid w:val="009D1CE4"/>
    <w:rsid w:val="009D2283"/>
    <w:rsid w:val="009D2729"/>
    <w:rsid w:val="009D29AD"/>
    <w:rsid w:val="009D3196"/>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728"/>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1F0"/>
    <w:rsid w:val="009F2B6A"/>
    <w:rsid w:val="009F2FCE"/>
    <w:rsid w:val="009F3A29"/>
    <w:rsid w:val="009F3C15"/>
    <w:rsid w:val="009F3D87"/>
    <w:rsid w:val="009F3FB1"/>
    <w:rsid w:val="009F4CFF"/>
    <w:rsid w:val="009F5A15"/>
    <w:rsid w:val="009F6437"/>
    <w:rsid w:val="009F6A2B"/>
    <w:rsid w:val="009F7762"/>
    <w:rsid w:val="009F77D3"/>
    <w:rsid w:val="009F78C2"/>
    <w:rsid w:val="009F7D66"/>
    <w:rsid w:val="00A001CB"/>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6BA3"/>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11"/>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E72"/>
    <w:rsid w:val="00A46F9D"/>
    <w:rsid w:val="00A47952"/>
    <w:rsid w:val="00A5026F"/>
    <w:rsid w:val="00A50461"/>
    <w:rsid w:val="00A50AC8"/>
    <w:rsid w:val="00A50CD6"/>
    <w:rsid w:val="00A5107C"/>
    <w:rsid w:val="00A52E06"/>
    <w:rsid w:val="00A539BC"/>
    <w:rsid w:val="00A53AFE"/>
    <w:rsid w:val="00A54DED"/>
    <w:rsid w:val="00A54EEA"/>
    <w:rsid w:val="00A559F4"/>
    <w:rsid w:val="00A56511"/>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1B4D"/>
    <w:rsid w:val="00A720C2"/>
    <w:rsid w:val="00A7217E"/>
    <w:rsid w:val="00A72300"/>
    <w:rsid w:val="00A73300"/>
    <w:rsid w:val="00A7369A"/>
    <w:rsid w:val="00A739B2"/>
    <w:rsid w:val="00A74492"/>
    <w:rsid w:val="00A74499"/>
    <w:rsid w:val="00A75457"/>
    <w:rsid w:val="00A755DE"/>
    <w:rsid w:val="00A75AA8"/>
    <w:rsid w:val="00A76090"/>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07"/>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476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C87"/>
    <w:rsid w:val="00AB1FCC"/>
    <w:rsid w:val="00AB23F5"/>
    <w:rsid w:val="00AB2409"/>
    <w:rsid w:val="00AB2452"/>
    <w:rsid w:val="00AB290F"/>
    <w:rsid w:val="00AB307C"/>
    <w:rsid w:val="00AB493B"/>
    <w:rsid w:val="00AB4B6B"/>
    <w:rsid w:val="00AB58A5"/>
    <w:rsid w:val="00AB5EF6"/>
    <w:rsid w:val="00AB6048"/>
    <w:rsid w:val="00AB60AF"/>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0FD9"/>
    <w:rsid w:val="00B112C7"/>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A5B"/>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CF1"/>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5F1F"/>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3DEC"/>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0FD9"/>
    <w:rsid w:val="00B6106B"/>
    <w:rsid w:val="00B61DA8"/>
    <w:rsid w:val="00B62D08"/>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31"/>
    <w:rsid w:val="00B71077"/>
    <w:rsid w:val="00B7162F"/>
    <w:rsid w:val="00B72157"/>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42D"/>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85"/>
    <w:rsid w:val="00BB34D4"/>
    <w:rsid w:val="00BB3E2B"/>
    <w:rsid w:val="00BB3E8D"/>
    <w:rsid w:val="00BB4551"/>
    <w:rsid w:val="00BB4638"/>
    <w:rsid w:val="00BB4CB5"/>
    <w:rsid w:val="00BB5341"/>
    <w:rsid w:val="00BB5817"/>
    <w:rsid w:val="00BB58BB"/>
    <w:rsid w:val="00BB5A07"/>
    <w:rsid w:val="00BB5C8D"/>
    <w:rsid w:val="00BB6434"/>
    <w:rsid w:val="00BB665A"/>
    <w:rsid w:val="00BB67D1"/>
    <w:rsid w:val="00BB6ACC"/>
    <w:rsid w:val="00BB6C7A"/>
    <w:rsid w:val="00BB6E8E"/>
    <w:rsid w:val="00BB6FB3"/>
    <w:rsid w:val="00BB76F6"/>
    <w:rsid w:val="00BB7832"/>
    <w:rsid w:val="00BB7B33"/>
    <w:rsid w:val="00BB7EA7"/>
    <w:rsid w:val="00BC02DA"/>
    <w:rsid w:val="00BC0B32"/>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2D"/>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3A8"/>
    <w:rsid w:val="00BE062D"/>
    <w:rsid w:val="00BE0722"/>
    <w:rsid w:val="00BE0A5A"/>
    <w:rsid w:val="00BE1003"/>
    <w:rsid w:val="00BE10C3"/>
    <w:rsid w:val="00BE126C"/>
    <w:rsid w:val="00BE14E1"/>
    <w:rsid w:val="00BE167C"/>
    <w:rsid w:val="00BE1822"/>
    <w:rsid w:val="00BE1946"/>
    <w:rsid w:val="00BE1C28"/>
    <w:rsid w:val="00BE243D"/>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4E13"/>
    <w:rsid w:val="00C25BCF"/>
    <w:rsid w:val="00C25EA0"/>
    <w:rsid w:val="00C2600D"/>
    <w:rsid w:val="00C26173"/>
    <w:rsid w:val="00C26918"/>
    <w:rsid w:val="00C26B37"/>
    <w:rsid w:val="00C26D4D"/>
    <w:rsid w:val="00C26D51"/>
    <w:rsid w:val="00C26E8C"/>
    <w:rsid w:val="00C27F15"/>
    <w:rsid w:val="00C27F4A"/>
    <w:rsid w:val="00C27FF2"/>
    <w:rsid w:val="00C306DF"/>
    <w:rsid w:val="00C30B02"/>
    <w:rsid w:val="00C30FC4"/>
    <w:rsid w:val="00C3129C"/>
    <w:rsid w:val="00C31BA6"/>
    <w:rsid w:val="00C3257A"/>
    <w:rsid w:val="00C32B36"/>
    <w:rsid w:val="00C34364"/>
    <w:rsid w:val="00C3547B"/>
    <w:rsid w:val="00C3550C"/>
    <w:rsid w:val="00C35E7A"/>
    <w:rsid w:val="00C3627B"/>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45F"/>
    <w:rsid w:val="00C515E1"/>
    <w:rsid w:val="00C51A13"/>
    <w:rsid w:val="00C52652"/>
    <w:rsid w:val="00C527DC"/>
    <w:rsid w:val="00C52864"/>
    <w:rsid w:val="00C52AC7"/>
    <w:rsid w:val="00C52B6D"/>
    <w:rsid w:val="00C53097"/>
    <w:rsid w:val="00C533ED"/>
    <w:rsid w:val="00C54095"/>
    <w:rsid w:val="00C54862"/>
    <w:rsid w:val="00C55172"/>
    <w:rsid w:val="00C55379"/>
    <w:rsid w:val="00C55953"/>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5DC2"/>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8C5"/>
    <w:rsid w:val="00C83EBA"/>
    <w:rsid w:val="00C84A35"/>
    <w:rsid w:val="00C84BFA"/>
    <w:rsid w:val="00C85F51"/>
    <w:rsid w:val="00C869B0"/>
    <w:rsid w:val="00C86F16"/>
    <w:rsid w:val="00C86F1B"/>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91"/>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47"/>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580"/>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AFB"/>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5B5"/>
    <w:rsid w:val="00CF6686"/>
    <w:rsid w:val="00CF6828"/>
    <w:rsid w:val="00CF6D2F"/>
    <w:rsid w:val="00CF75EC"/>
    <w:rsid w:val="00CF7794"/>
    <w:rsid w:val="00CF7B3D"/>
    <w:rsid w:val="00CF7C08"/>
    <w:rsid w:val="00CF7E23"/>
    <w:rsid w:val="00D00110"/>
    <w:rsid w:val="00D001B9"/>
    <w:rsid w:val="00D00254"/>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27B"/>
    <w:rsid w:val="00D11359"/>
    <w:rsid w:val="00D11641"/>
    <w:rsid w:val="00D11C98"/>
    <w:rsid w:val="00D11E76"/>
    <w:rsid w:val="00D11FC2"/>
    <w:rsid w:val="00D12557"/>
    <w:rsid w:val="00D12BC8"/>
    <w:rsid w:val="00D12EDA"/>
    <w:rsid w:val="00D139DF"/>
    <w:rsid w:val="00D13A66"/>
    <w:rsid w:val="00D13AA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0F"/>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75"/>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5750"/>
    <w:rsid w:val="00D86067"/>
    <w:rsid w:val="00D86922"/>
    <w:rsid w:val="00D86ADA"/>
    <w:rsid w:val="00D86CFD"/>
    <w:rsid w:val="00D86EB0"/>
    <w:rsid w:val="00D86F02"/>
    <w:rsid w:val="00D870E5"/>
    <w:rsid w:val="00D87443"/>
    <w:rsid w:val="00D874DF"/>
    <w:rsid w:val="00D87E8B"/>
    <w:rsid w:val="00D9025E"/>
    <w:rsid w:val="00D90D48"/>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206"/>
    <w:rsid w:val="00DA7683"/>
    <w:rsid w:val="00DB0457"/>
    <w:rsid w:val="00DB045F"/>
    <w:rsid w:val="00DB05E9"/>
    <w:rsid w:val="00DB0615"/>
    <w:rsid w:val="00DB105A"/>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284"/>
    <w:rsid w:val="00DB64DA"/>
    <w:rsid w:val="00DB6712"/>
    <w:rsid w:val="00DB69C7"/>
    <w:rsid w:val="00DB6B89"/>
    <w:rsid w:val="00DB6BAE"/>
    <w:rsid w:val="00DB71E9"/>
    <w:rsid w:val="00DB77EB"/>
    <w:rsid w:val="00DB77EE"/>
    <w:rsid w:val="00DB7CCE"/>
    <w:rsid w:val="00DC00BD"/>
    <w:rsid w:val="00DC06DD"/>
    <w:rsid w:val="00DC15AB"/>
    <w:rsid w:val="00DC1ED6"/>
    <w:rsid w:val="00DC22D0"/>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1F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237"/>
    <w:rsid w:val="00DE4CB2"/>
    <w:rsid w:val="00DE5123"/>
    <w:rsid w:val="00DE5261"/>
    <w:rsid w:val="00DE52C2"/>
    <w:rsid w:val="00DE5978"/>
    <w:rsid w:val="00DE5C38"/>
    <w:rsid w:val="00DE640B"/>
    <w:rsid w:val="00DE6823"/>
    <w:rsid w:val="00DE6B42"/>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3EAE"/>
    <w:rsid w:val="00DF42F3"/>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2786"/>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3D79"/>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A1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54E"/>
    <w:rsid w:val="00E56B05"/>
    <w:rsid w:val="00E56B26"/>
    <w:rsid w:val="00E56BE0"/>
    <w:rsid w:val="00E56C5E"/>
    <w:rsid w:val="00E5745C"/>
    <w:rsid w:val="00E578F6"/>
    <w:rsid w:val="00E57C1A"/>
    <w:rsid w:val="00E605B0"/>
    <w:rsid w:val="00E6065E"/>
    <w:rsid w:val="00E608C1"/>
    <w:rsid w:val="00E60B6E"/>
    <w:rsid w:val="00E60EE5"/>
    <w:rsid w:val="00E60FD6"/>
    <w:rsid w:val="00E61240"/>
    <w:rsid w:val="00E612E5"/>
    <w:rsid w:val="00E615BA"/>
    <w:rsid w:val="00E622B1"/>
    <w:rsid w:val="00E633A6"/>
    <w:rsid w:val="00E636C0"/>
    <w:rsid w:val="00E63A58"/>
    <w:rsid w:val="00E64381"/>
    <w:rsid w:val="00E64F80"/>
    <w:rsid w:val="00E65222"/>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2ED"/>
    <w:rsid w:val="00E839DB"/>
    <w:rsid w:val="00E83D36"/>
    <w:rsid w:val="00E83D41"/>
    <w:rsid w:val="00E83F53"/>
    <w:rsid w:val="00E840B2"/>
    <w:rsid w:val="00E85201"/>
    <w:rsid w:val="00E85307"/>
    <w:rsid w:val="00E85C2C"/>
    <w:rsid w:val="00E85D04"/>
    <w:rsid w:val="00E86059"/>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4EF6"/>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A7D74"/>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B95"/>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63C"/>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D0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162"/>
    <w:rsid w:val="00EE139E"/>
    <w:rsid w:val="00EE1D36"/>
    <w:rsid w:val="00EE26D9"/>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BD2"/>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2AB"/>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C7"/>
    <w:rsid w:val="00F22AD5"/>
    <w:rsid w:val="00F23462"/>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C9A"/>
    <w:rsid w:val="00F32190"/>
    <w:rsid w:val="00F323E5"/>
    <w:rsid w:val="00F32EB8"/>
    <w:rsid w:val="00F3317A"/>
    <w:rsid w:val="00F331BC"/>
    <w:rsid w:val="00F335B5"/>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1F18"/>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156"/>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77A2E"/>
    <w:rsid w:val="00F8039C"/>
    <w:rsid w:val="00F810BB"/>
    <w:rsid w:val="00F8181F"/>
    <w:rsid w:val="00F81992"/>
    <w:rsid w:val="00F81FBD"/>
    <w:rsid w:val="00F8206E"/>
    <w:rsid w:val="00F82085"/>
    <w:rsid w:val="00F8239C"/>
    <w:rsid w:val="00F827D8"/>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7A6"/>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91E"/>
    <w:rsid w:val="00FA3A55"/>
    <w:rsid w:val="00FA41EC"/>
    <w:rsid w:val="00FA4272"/>
    <w:rsid w:val="00FA42B2"/>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A7E2C"/>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A6"/>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0EF"/>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27C5FE3"/>
    <w:rsid w:val="05922ABD"/>
    <w:rsid w:val="0645149F"/>
    <w:rsid w:val="06AA4C8B"/>
    <w:rsid w:val="08161655"/>
    <w:rsid w:val="085A600B"/>
    <w:rsid w:val="09F0107B"/>
    <w:rsid w:val="0DF657E7"/>
    <w:rsid w:val="0E395F1A"/>
    <w:rsid w:val="0F950E9E"/>
    <w:rsid w:val="101D0088"/>
    <w:rsid w:val="108651D9"/>
    <w:rsid w:val="136E4323"/>
    <w:rsid w:val="13C44C6D"/>
    <w:rsid w:val="145F5D80"/>
    <w:rsid w:val="155922D9"/>
    <w:rsid w:val="1715307F"/>
    <w:rsid w:val="171541B9"/>
    <w:rsid w:val="17E006CB"/>
    <w:rsid w:val="18C10878"/>
    <w:rsid w:val="1A9A728B"/>
    <w:rsid w:val="1D1B6B91"/>
    <w:rsid w:val="1D506261"/>
    <w:rsid w:val="1E85377D"/>
    <w:rsid w:val="20783A40"/>
    <w:rsid w:val="20901138"/>
    <w:rsid w:val="250E7083"/>
    <w:rsid w:val="271A6D26"/>
    <w:rsid w:val="2E761861"/>
    <w:rsid w:val="30B02800"/>
    <w:rsid w:val="344C783E"/>
    <w:rsid w:val="366E7886"/>
    <w:rsid w:val="36F73796"/>
    <w:rsid w:val="385B6485"/>
    <w:rsid w:val="389D5A41"/>
    <w:rsid w:val="3A0D3961"/>
    <w:rsid w:val="3C0F2A13"/>
    <w:rsid w:val="3EBC06FE"/>
    <w:rsid w:val="3F6C2FCE"/>
    <w:rsid w:val="404F79C2"/>
    <w:rsid w:val="425D3EA5"/>
    <w:rsid w:val="43F72909"/>
    <w:rsid w:val="44A33911"/>
    <w:rsid w:val="45F40814"/>
    <w:rsid w:val="470B617C"/>
    <w:rsid w:val="48685FF4"/>
    <w:rsid w:val="4B8137BE"/>
    <w:rsid w:val="4D007A72"/>
    <w:rsid w:val="53D96226"/>
    <w:rsid w:val="577D381B"/>
    <w:rsid w:val="57CB7ADF"/>
    <w:rsid w:val="57D10535"/>
    <w:rsid w:val="585C1500"/>
    <w:rsid w:val="5A4A1EFA"/>
    <w:rsid w:val="5C1F060E"/>
    <w:rsid w:val="5DE67D99"/>
    <w:rsid w:val="5FD85F36"/>
    <w:rsid w:val="61C0713E"/>
    <w:rsid w:val="61E73D8B"/>
    <w:rsid w:val="62C14C0E"/>
    <w:rsid w:val="63207446"/>
    <w:rsid w:val="642D4708"/>
    <w:rsid w:val="649B03BB"/>
    <w:rsid w:val="64CB551F"/>
    <w:rsid w:val="687F1B12"/>
    <w:rsid w:val="687F72B0"/>
    <w:rsid w:val="68B71ABA"/>
    <w:rsid w:val="6A101310"/>
    <w:rsid w:val="6D103E0F"/>
    <w:rsid w:val="6D241616"/>
    <w:rsid w:val="71D05EE8"/>
    <w:rsid w:val="73544E6A"/>
    <w:rsid w:val="73E5665A"/>
    <w:rsid w:val="79EC3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A86EC9"/>
  <w15:docId w15:val="{41D253D9-D548-4C12-8B62-0ED3EBB79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262E"/>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next w:val="a"/>
    <w:qFormat/>
    <w:pPr>
      <w:keepNext/>
      <w:keepLines/>
      <w:pBdr>
        <w:top w:val="single" w:sz="12" w:space="3" w:color="auto"/>
      </w:pBdr>
      <w:overflowPunct w:val="0"/>
      <w:autoSpaceDE w:val="0"/>
      <w:autoSpaceDN w:val="0"/>
      <w:adjustRightInd w:val="0"/>
      <w:spacing w:before="240" w:after="180" w:line="278" w:lineRule="auto"/>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17262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7262E"/>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ascii="Times New Roman" w:hAnsi="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sz w:val="20"/>
      <w:szCs w:val="20"/>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semiHidden/>
    <w:qFormat/>
    <w:rPr>
      <w:rFonts w:eastAsia="MS Mincho"/>
    </w:rPr>
  </w:style>
  <w:style w:type="paragraph" w:styleId="aa">
    <w:name w:val="Body Text"/>
    <w:basedOn w:val="a"/>
    <w:link w:val="ab"/>
    <w:qFormat/>
    <w:pPr>
      <w:spacing w:after="120"/>
    </w:pPr>
    <w:rPr>
      <w:sz w:val="20"/>
      <w:szCs w:val="20"/>
      <w:lang w:val="en-GB"/>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qFormat/>
    <w:pPr>
      <w:jc w:val="center"/>
    </w:pPr>
    <w:rPr>
      <w:i/>
    </w:rPr>
  </w:style>
  <w:style w:type="paragraph" w:styleId="ae">
    <w:name w:val="header"/>
    <w:link w:val="af"/>
    <w:qFormat/>
    <w:pPr>
      <w:widowControl w:val="0"/>
      <w:overflowPunct w:val="0"/>
      <w:autoSpaceDE w:val="0"/>
      <w:autoSpaceDN w:val="0"/>
      <w:adjustRightInd w:val="0"/>
      <w:spacing w:after="160" w:line="278" w:lineRule="auto"/>
      <w:textAlignment w:val="baseline"/>
    </w:pPr>
    <w:rPr>
      <w:rFonts w:ascii="Arial" w:hAnsi="Arial"/>
      <w:b/>
      <w:sz w:val="18"/>
      <w:lang w:eastAsia="en-US"/>
    </w:rPr>
  </w:style>
  <w:style w:type="paragraph" w:styleId="af0">
    <w:name w:val="footnote text"/>
    <w:basedOn w:val="a"/>
    <w:semiHidden/>
    <w:qFormat/>
    <w:pPr>
      <w:keepLines/>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23">
    <w:name w:val="Body Text 2"/>
    <w:basedOn w:val="a"/>
    <w:qFormat/>
    <w:rPr>
      <w:rFonts w:eastAsia="MS Mincho"/>
      <w:color w:val="FFFF00"/>
      <w:lang w:eastAsia="ja-JP"/>
    </w:rPr>
  </w:style>
  <w:style w:type="paragraph" w:styleId="af1">
    <w:name w:val="Normal (Web)"/>
    <w:basedOn w:val="a"/>
    <w:uiPriority w:val="99"/>
    <w:unhideWhenUsed/>
    <w:qFormat/>
    <w:pPr>
      <w:spacing w:before="100" w:beforeAutospacing="1" w:after="100" w:afterAutospacing="1"/>
    </w:pPr>
    <w:rPr>
      <w:rFonts w:ascii="宋体" w:hAnsi="宋体"/>
    </w:rPr>
  </w:style>
  <w:style w:type="paragraph" w:styleId="10">
    <w:name w:val="index 1"/>
    <w:basedOn w:val="a"/>
    <w:next w:val="a"/>
    <w:semiHidden/>
    <w:qFormat/>
    <w:pPr>
      <w:keepLines/>
    </w:pPr>
  </w:style>
  <w:style w:type="paragraph" w:styleId="24">
    <w:name w:val="index 2"/>
    <w:basedOn w:val="10"/>
    <w:next w:val="a"/>
    <w:semiHidden/>
    <w:qFormat/>
    <w:pPr>
      <w:ind w:left="284"/>
    </w:pPr>
  </w:style>
  <w:style w:type="paragraph" w:styleId="af2">
    <w:name w:val="Title"/>
    <w:basedOn w:val="a"/>
    <w:next w:val="a"/>
    <w:link w:val="af3"/>
    <w:uiPriority w:val="10"/>
    <w:qFormat/>
    <w:pPr>
      <w:contextualSpacing/>
    </w:pPr>
    <w:rPr>
      <w:rFonts w:asciiTheme="majorHAnsi" w:eastAsiaTheme="majorEastAsia" w:hAnsiTheme="majorHAnsi" w:cstheme="majorBidi"/>
      <w:spacing w:val="-10"/>
      <w:kern w:val="28"/>
      <w:sz w:val="56"/>
      <w:szCs w:val="56"/>
    </w:rPr>
  </w:style>
  <w:style w:type="paragraph" w:styleId="af4">
    <w:name w:val="annotation subject"/>
    <w:basedOn w:val="a9"/>
    <w:next w:val="a9"/>
    <w:semiHidden/>
    <w:qFormat/>
    <w:pPr>
      <w:overflowPunct w:val="0"/>
      <w:autoSpaceDE w:val="0"/>
      <w:autoSpaceDN w:val="0"/>
      <w:adjustRightInd w:val="0"/>
      <w:textAlignment w:val="baseline"/>
    </w:pPr>
    <w:rPr>
      <w:rFonts w:eastAsia="Times New Roman"/>
      <w:b/>
      <w:bCs/>
    </w:rPr>
  </w:style>
  <w:style w:type="table" w:styleId="af5">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r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78"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78"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rPr>
      <w:sz w:val="20"/>
      <w:szCs w:val="20"/>
      <w:lang w:val="en-GB"/>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8" w:lineRule="auto"/>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link w:val="11BodyTextChar"/>
    <w:qFormat/>
    <w:pPr>
      <w:spacing w:after="220"/>
      <w:ind w:left="1298"/>
    </w:pPr>
    <w:rPr>
      <w:rFonts w:ascii="Arial" w:hAnsi="Arial"/>
      <w:szCs w:val="20"/>
    </w:rPr>
  </w:style>
  <w:style w:type="paragraph" w:customStyle="1" w:styleId="B6">
    <w:name w:val="B6"/>
    <w:basedOn w:val="B5"/>
    <w:qFormat/>
  </w:style>
  <w:style w:type="character" w:customStyle="1" w:styleId="a7">
    <w:name w:val="题注 字符"/>
    <w:link w:val="a6"/>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apple-style-span">
    <w:name w:val="apple-style-span"/>
    <w:basedOn w:val="a0"/>
    <w:qFormat/>
  </w:style>
  <w:style w:type="paragraph" w:customStyle="1" w:styleId="11">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11BodyTextChar">
    <w:name w:val="11 BodyText Char"/>
    <w:link w:val="11BodyText"/>
    <w:qFormat/>
    <w:rPr>
      <w:rFonts w:ascii="Arial" w:hAnsi="Arial"/>
      <w:sz w:val="22"/>
      <w:lang w:eastAsia="en-US"/>
    </w:rPr>
  </w:style>
  <w:style w:type="paragraph" w:styleId="afa">
    <w:name w:val="List Paragraph"/>
    <w:basedOn w:val="a"/>
    <w:link w:val="afb"/>
    <w:uiPriority w:val="34"/>
    <w:qFormat/>
    <w:pPr>
      <w:ind w:left="720"/>
      <w:contextualSpacing/>
    </w:pPr>
  </w:style>
  <w:style w:type="character" w:styleId="afc">
    <w:name w:val="Placeholder Text"/>
    <w:uiPriority w:val="99"/>
    <w:semiHidden/>
    <w:qFormat/>
    <w:rPr>
      <w:color w:val="808080"/>
    </w:rPr>
  </w:style>
  <w:style w:type="character" w:customStyle="1" w:styleId="af">
    <w:name w:val="页眉 字符"/>
    <w:link w:val="ae"/>
    <w:qFormat/>
    <w:rPr>
      <w:rFonts w:ascii="Arial" w:hAnsi="Arial"/>
      <w:b/>
      <w:sz w:val="18"/>
      <w:lang w:eastAsia="en-US" w:bidi="ar-SA"/>
    </w:rPr>
  </w:style>
  <w:style w:type="character" w:customStyle="1" w:styleId="THChar">
    <w:name w:val="TH Char"/>
    <w:link w:val="TH"/>
    <w:qFormat/>
    <w:locked/>
    <w:rPr>
      <w:rFonts w:ascii="Arial" w:hAnsi="Arial"/>
      <w:b/>
      <w:sz w:val="22"/>
      <w:szCs w:val="22"/>
    </w:rPr>
  </w:style>
  <w:style w:type="character" w:customStyle="1" w:styleId="TALCar">
    <w:name w:val="TAL Car"/>
    <w:link w:val="TAL"/>
    <w:qFormat/>
    <w:locked/>
    <w:rPr>
      <w:rFonts w:ascii="Arial" w:hAnsi="Arial"/>
      <w:sz w:val="18"/>
      <w:szCs w:val="22"/>
    </w:rPr>
  </w:style>
  <w:style w:type="character" w:customStyle="1" w:styleId="TANChar">
    <w:name w:val="TAN Char"/>
    <w:link w:val="TAN"/>
    <w:qFormat/>
    <w:locked/>
    <w:rPr>
      <w:rFonts w:ascii="Arial" w:hAnsi="Arial"/>
      <w:sz w:val="18"/>
      <w:szCs w:val="22"/>
    </w:rPr>
  </w:style>
  <w:style w:type="character" w:customStyle="1" w:styleId="B3Char2">
    <w:name w:val="B3 Char2"/>
    <w:link w:val="B3"/>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b">
    <w:name w:val="正文文本 字符"/>
    <w:link w:val="aa"/>
    <w:qFormat/>
    <w:rPr>
      <w:rFonts w:ascii="Times New Roman" w:eastAsia="Times New Roman" w:hAnsi="Times New Roman"/>
      <w:lang w:val="en-GB" w:eastAsia="en-US"/>
    </w:rPr>
  </w:style>
  <w:style w:type="character" w:customStyle="1" w:styleId="B1Char1">
    <w:name w:val="B1 Char1"/>
    <w:qFormat/>
    <w:rPr>
      <w:lang w:val="en-GB" w:eastAsia="ja-JP" w:bidi="ar-SA"/>
    </w:rPr>
  </w:style>
  <w:style w:type="character" w:customStyle="1" w:styleId="B2Char">
    <w:name w:val="B2 Char"/>
    <w:link w:val="B2"/>
    <w:qFormat/>
    <w:rPr>
      <w:rFonts w:ascii="Calibri" w:hAnsi="Calibri"/>
      <w:sz w:val="22"/>
      <w:szCs w:val="22"/>
    </w:rPr>
  </w:style>
  <w:style w:type="character" w:customStyle="1" w:styleId="B4Char">
    <w:name w:val="B4 Char"/>
    <w:link w:val="B4"/>
    <w:qFormat/>
    <w:rPr>
      <w:rFonts w:ascii="Calibri" w:hAnsi="Calibri"/>
      <w:sz w:val="22"/>
      <w:szCs w:val="22"/>
    </w:rPr>
  </w:style>
  <w:style w:type="paragraph" w:customStyle="1" w:styleId="References">
    <w:name w:val="References"/>
    <w:basedOn w:val="a"/>
    <w:next w:val="a"/>
    <w:qFormat/>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Pr>
      <w:rFonts w:ascii="Courier New" w:hAnsi="Courier New"/>
      <w:sz w:val="16"/>
      <w:lang w:eastAsia="en-US"/>
    </w:rPr>
  </w:style>
  <w:style w:type="character" w:customStyle="1" w:styleId="NOChar">
    <w:name w:val="NO Char"/>
    <w:link w:val="NO"/>
    <w:qFormat/>
    <w:rPr>
      <w:rFonts w:ascii="Calibri" w:hAnsi="Calibri"/>
      <w:sz w:val="22"/>
      <w:szCs w:val="22"/>
    </w:rPr>
  </w:style>
  <w:style w:type="character" w:customStyle="1" w:styleId="EditorsNoteChar">
    <w:name w:val="Editor's Note Char"/>
    <w:link w:val="EditorsNote"/>
    <w:qFormat/>
    <w:rPr>
      <w:rFonts w:ascii="Calibri" w:hAnsi="Calibri"/>
      <w:color w:val="FF0000"/>
      <w:sz w:val="22"/>
      <w:szCs w:val="22"/>
    </w:rPr>
  </w:style>
  <w:style w:type="character" w:customStyle="1" w:styleId="B1Zchn">
    <w:name w:val="B1 Zchn"/>
    <w:qFormat/>
    <w:rPr>
      <w:rFonts w:ascii="Times New Roman" w:hAnsi="Times New Roman"/>
      <w:lang w:val="en-GB" w:eastAsia="en-US"/>
    </w:rPr>
  </w:style>
  <w:style w:type="character" w:customStyle="1" w:styleId="B10">
    <w:name w:val="B1 (文字)"/>
    <w:uiPriority w:val="99"/>
    <w:qFormat/>
    <w:locked/>
    <w:rPr>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2">
    <w:name w:val="明显参考1"/>
    <w:qFormat/>
    <w:rPr>
      <w:b/>
      <w:smallCaps/>
      <w:color w:val="C0504D"/>
      <w:spacing w:val="5"/>
      <w:u w:val="single"/>
    </w:rPr>
  </w:style>
  <w:style w:type="character" w:customStyle="1" w:styleId="apple-converted-space">
    <w:name w:val="apple-converted-space"/>
    <w:qFormat/>
  </w:style>
  <w:style w:type="paragraph" w:customStyle="1" w:styleId="Doc-title">
    <w:name w:val="Doc-title"/>
    <w:basedOn w:val="a"/>
    <w:next w:val="Doc-text2"/>
    <w:link w:val="Doc-titleChar"/>
    <w:qFormat/>
    <w:pPr>
      <w:spacing w:before="60"/>
      <w:ind w:left="1259" w:hanging="1259"/>
    </w:pPr>
    <w:rPr>
      <w:rFonts w:ascii="Arial" w:eastAsia="MS Mincho" w:hAnsi="Arial"/>
      <w:sz w:val="20"/>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b">
    <w:name w:val="列表段落 字符"/>
    <w:link w:val="afa"/>
    <w:uiPriority w:val="34"/>
    <w:qFormat/>
    <w:locked/>
    <w:rPr>
      <w:rFonts w:ascii="Calibri" w:hAnsi="Calibri"/>
      <w:sz w:val="22"/>
      <w:szCs w:val="2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3">
    <w:name w:val="标题 字符"/>
    <w:basedOn w:val="a0"/>
    <w:link w:val="af2"/>
    <w:uiPriority w:val="10"/>
    <w:qFormat/>
    <w:rPr>
      <w:rFonts w:asciiTheme="majorHAnsi" w:eastAsiaTheme="majorEastAsia" w:hAnsiTheme="majorHAnsi" w:cstheme="majorBidi"/>
      <w:spacing w:val="-10"/>
      <w:kern w:val="28"/>
      <w:sz w:val="56"/>
      <w:szCs w:val="56"/>
    </w:rPr>
  </w:style>
  <w:style w:type="character" w:customStyle="1" w:styleId="TALChar">
    <w:name w:val="TAL Char"/>
    <w:qFormat/>
    <w:locked/>
    <w:rPr>
      <w:rFonts w:ascii="Arial" w:hAnsi="Arial"/>
      <w:sz w:val="18"/>
      <w:lang w:val="en-GB" w:eastAsia="en-US" w:bidi="ar-SA"/>
    </w:rPr>
  </w:style>
  <w:style w:type="paragraph" w:customStyle="1" w:styleId="Default">
    <w:name w:val="Default"/>
    <w:qFormat/>
    <w:pPr>
      <w:autoSpaceDE w:val="0"/>
      <w:autoSpaceDN w:val="0"/>
      <w:adjustRightInd w:val="0"/>
      <w:spacing w:after="160" w:line="278" w:lineRule="auto"/>
    </w:pPr>
    <w:rPr>
      <w:rFonts w:ascii="Arial" w:eastAsia="Times New Roman" w:hAnsi="Arial" w:cs="Arial"/>
      <w:color w:val="000000"/>
      <w:sz w:val="24"/>
      <w:szCs w:val="24"/>
      <w:lang w:eastAsia="en-US"/>
    </w:rPr>
  </w:style>
  <w:style w:type="paragraph" w:styleId="afd">
    <w:name w:val="No Spacing"/>
    <w:uiPriority w:val="1"/>
    <w:qFormat/>
    <w:rPr>
      <w:rFonts w:ascii="Times New Roman" w:eastAsiaTheme="minorEastAsia" w:hAnsi="Times New Roman"/>
      <w:lang w:val="en-GB" w:eastAsia="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kern w:val="0"/>
      <w:sz w:val="20"/>
      <w:szCs w:val="20"/>
      <w:lang w:val="en-GB"/>
    </w:rPr>
  </w:style>
  <w:style w:type="paragraph" w:customStyle="1" w:styleId="Note">
    <w:name w:val="Note"/>
    <w:basedOn w:val="a"/>
    <w:next w:val="a"/>
    <w:qFormat/>
    <w:pPr>
      <w:tabs>
        <w:tab w:val="left" w:pos="284"/>
        <w:tab w:val="left" w:pos="1134"/>
        <w:tab w:val="left" w:pos="1871"/>
        <w:tab w:val="left" w:pos="2268"/>
      </w:tabs>
      <w:overflowPunct w:val="0"/>
      <w:autoSpaceDE w:val="0"/>
      <w:autoSpaceDN w:val="0"/>
      <w:adjustRightInd w:val="0"/>
      <w:spacing w:before="80"/>
      <w:textAlignment w:val="baseline"/>
    </w:pPr>
    <w:rPr>
      <w:rFonts w:ascii="Times New Roman" w:hAnsi="Times New Roman" w:cs="Times New Roman"/>
      <w:kern w:val="0"/>
      <w:szCs w:val="20"/>
      <w:lang w:val="en-GB"/>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rPr>
  </w:style>
  <w:style w:type="character" w:customStyle="1" w:styleId="TabletextChar">
    <w:name w:val="Table_text Char"/>
    <w:basedOn w:val="a0"/>
    <w:link w:val="Tabletext"/>
    <w:qFormat/>
    <w:locked/>
    <w:rPr>
      <w:rFonts w:ascii="Times New Roman" w:eastAsiaTheme="minorEastAsia" w:hAnsi="Times New Roman"/>
      <w:lang w:val="en-GB" w:eastAsia="en-US"/>
    </w:rPr>
  </w:style>
  <w:style w:type="paragraph" w:customStyle="1" w:styleId="25">
    <w:name w:val="修订2"/>
    <w:hidden/>
    <w:uiPriority w:val="99"/>
    <w:unhideWhenUsed/>
    <w:qFormat/>
    <w:rPr>
      <w:rFonts w:asciiTheme="minorHAnsi" w:eastAsiaTheme="minorEastAsia" w:hAnsiTheme="minorHAnsi" w:cstheme="minorBidi"/>
      <w:kern w:val="2"/>
      <w:sz w:val="21"/>
      <w:szCs w:val="22"/>
    </w:rPr>
  </w:style>
  <w:style w:type="paragraph" w:customStyle="1" w:styleId="32">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
    <w:next w:val="a"/>
    <w:link w:val="TableNoChar"/>
    <w:qFormat/>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hAnsi="Times New Roman" w:cs="Times New Roman"/>
      <w:kern w:val="0"/>
      <w:szCs w:val="20"/>
      <w:lang w:val="fr-FR"/>
    </w:rPr>
  </w:style>
  <w:style w:type="character" w:customStyle="1" w:styleId="TableheadChar">
    <w:name w:val="Table_head Char"/>
    <w:basedOn w:val="a0"/>
    <w:link w:val="Tablehead"/>
    <w:qFormat/>
    <w:locked/>
    <w:rPr>
      <w:rFonts w:ascii="Times New Roman Bold" w:eastAsiaTheme="minorEastAsia" w:hAnsi="Times New Roman Bold" w:cs="Times New Roman Bold"/>
      <w:b/>
      <w:lang w:val="en-GB" w:eastAsia="en-US"/>
      <w14:ligatures w14:val="standardContextual"/>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
    <w:qFormat/>
    <w:pPr>
      <w:tabs>
        <w:tab w:val="left" w:pos="1134"/>
        <w:tab w:val="left" w:pos="1871"/>
        <w:tab w:val="left" w:pos="2268"/>
      </w:tabs>
      <w:overflowPunct w:val="0"/>
      <w:autoSpaceDE w:val="0"/>
      <w:autoSpaceDN w:val="0"/>
      <w:adjustRightInd w:val="0"/>
      <w:spacing w:before="240" w:after="240"/>
      <w:textAlignment w:val="baseline"/>
    </w:pPr>
    <w:rPr>
      <w:rFonts w:ascii="Times New Roman" w:hAnsi="Times New Roman" w:cs="Times New Roman"/>
      <w:i/>
      <w:iCs/>
      <w:kern w:val="0"/>
      <w:szCs w:val="20"/>
      <w:lang w:val="en-GB"/>
    </w:rPr>
  </w:style>
  <w:style w:type="table" w:customStyle="1" w:styleId="TableGrid1">
    <w:name w:val="Table Grid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Gro21</b:Tag>
    <b:SourceType>ArticleInAPeriodical</b:SourceType>
    <b:Guid>{B1B93861-751D-4035-A600-F7B9D1F4E9CD}</b:Guid>
    <b:Author>
      <b:Author>
        <b:NameList>
          <b:Person>
            <b:Last>Gros</b:Last>
            <b:First>J.</b:First>
            <b:Middle>-B.</b:Middle>
          </b:Person>
        </b:NameList>
      </b:Author>
    </b:Author>
    <b:Title>A Reconfigurable Intelligent Surface at mmWave Based on a Binary Phase Tunable Metasurface</b:Title>
    <b:City>," in IEEE Open Journal of the Communications Society, vol. 2, pp. 1055-1064, 2021.</b:City>
    <b:Year>2021</b:Year>
    <b:PeriodicalTitle>IEEE Open Journal of the Communications Society</b:PeriodicalTitle>
    <b:Pages>1055-1064</b:Pages>
    <b:Volume>2</b:Volume>
    <b:RefOrder>111</b:RefOrder>
  </b:Source>
  <b:Source>
    <b:Tag>RFa22</b:Tag>
    <b:SourceType>ArticleInAPeriodical</b:SourceType>
    <b:Guid>{C45BC539-16D3-41C3-8DAB-AB97BA9D0192}</b:Guid>
    <b:Title>A Prototype of Reconfigurable Intelligent Surface with Continuous Control of the Reflection Phase</b:Title>
    <b:PeriodicalTitle>IEEE Wireless Communications</b:PeriodicalTitle>
    <b:Year>2022</b:Year>
    <b:Month>Feb.</b:Month>
    <b:Pages>70-77</b:Pages>
    <b:Author>
      <b:Author>
        <b:NameList>
          <b:Person>
            <b:Last>Fara</b:Last>
            <b:First>R.</b:First>
          </b:Person>
        </b:NameList>
      </b:Author>
    </b:Author>
    <b:Volume>29</b:Volume>
    <b:Issue>1</b:Issue>
    <b:RefOrder>112</b:RefOrder>
  </b:Source>
  <b:Source>
    <b:Tag>CHu19</b:Tag>
    <b:SourceType>ArticleInAPeriodical</b:SourceType>
    <b:Guid>{E2F9C652-3236-4FD9-A942-57702B10DFA8}</b:Guid>
    <b:Title>Reconfigurable Intelligent Surfaces for Energy Efficiency in Wireless Communication</b:Title>
    <b:PeriodicalTitle>IEEE Transactions on Wireless Communications</b:PeriodicalTitle>
    <b:Year>2019</b:Year>
    <b:Month>Aug.</b:Month>
    <b:Pages>4157-4170</b:Pages>
    <b:Author>
      <b:Author>
        <b:NameList>
          <b:Person>
            <b:Last>Huang</b:Last>
            <b:First>C.</b:First>
          </b:Person>
        </b:NameList>
      </b:Author>
    </b:Author>
    <b:Edition>8</b:Edition>
    <b:Volume>18</b:Volume>
    <b:RefOrder>113</b:RefOrder>
  </b:Source>
</b:Sources>
</file>

<file path=customXml/itemProps1.xml><?xml version="1.0" encoding="utf-8"?>
<ds:datastoreItem xmlns:ds="http://schemas.openxmlformats.org/officeDocument/2006/customXml" ds:itemID="{75339D27-10A2-4A45-81EB-C68C2AE79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Pages>
  <Words>1279</Words>
  <Characters>7292</Characters>
  <Application>Microsoft Office Word</Application>
  <DocSecurity>0</DocSecurity>
  <Lines>60</Lines>
  <Paragraphs>17</Paragraphs>
  <ScaleCrop>false</ScaleCrop>
  <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5</cp:revision>
  <dcterms:created xsi:type="dcterms:W3CDTF">2025-09-05T13:09:00Z</dcterms:created>
  <dcterms:modified xsi:type="dcterms:W3CDTF">2025-09-05T14:06:00Z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DF5609DE3FA94CA6994C172307FD3B73</vt:lpwstr>
  </property>
</Properties>
</file>